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717" w:beforeLines="550"/>
        <w:jc w:val="center"/>
        <w:textAlignment w:val="auto"/>
        <w:rPr>
          <w:rFonts w:hint="eastAsia" w:ascii="仿宋_GB2312" w:hAnsi="仿宋_GB2312" w:eastAsia="仿宋_GB2312" w:cs="仿宋_GB2312"/>
          <w:color w:val="auto"/>
          <w:spacing w:val="0"/>
          <w:sz w:val="32"/>
          <w:szCs w:val="32"/>
          <w:lang w:val="en-US" w:eastAsia="zh-CN"/>
        </w:rPr>
      </w:pPr>
      <w:r>
        <w:rPr>
          <w:rFonts w:hint="eastAsia" w:ascii="方正小标宋简体" w:hAnsi="方正小标宋简体" w:eastAsia="方正小标宋简体" w:cs="方正小标宋简体"/>
          <w:b/>
          <w:bCs/>
          <w:color w:val="FFFFFF"/>
          <w:spacing w:val="79"/>
          <w:w w:val="72"/>
          <w:sz w:val="110"/>
          <w:szCs w:val="110"/>
          <w:lang w:val="en-US" w:eastAsia="zh-CN"/>
        </w:rPr>
        <w:t>合</w:t>
      </w:r>
      <w:r>
        <w:rPr>
          <w:rFonts w:hint="eastAsia" w:ascii="方正小标宋简体" w:hAnsi="方正小标宋简体" w:eastAsia="方正小标宋简体" w:cs="方正小标宋简体"/>
          <w:b/>
          <w:bCs/>
          <w:color w:val="FFFFFF"/>
          <w:spacing w:val="-147"/>
          <w:w w:val="72"/>
          <w:sz w:val="110"/>
          <w:szCs w:val="110"/>
          <w:lang w:val="en-US" w:eastAsia="zh-CN"/>
        </w:rPr>
        <w:t xml:space="preserve"> </w:t>
      </w:r>
      <w:r>
        <w:rPr>
          <w:rFonts w:hint="eastAsia" w:ascii="方正小标宋简体" w:hAnsi="方正小标宋简体" w:eastAsia="方正小标宋简体" w:cs="方正小标宋简体"/>
          <w:b/>
          <w:bCs/>
          <w:color w:val="FFFFFF"/>
          <w:spacing w:val="79"/>
          <w:w w:val="72"/>
          <w:sz w:val="110"/>
          <w:szCs w:val="110"/>
          <w:lang w:val="en-US" w:eastAsia="zh-CN"/>
        </w:rPr>
        <w:t>肥</w:t>
      </w:r>
      <w:r>
        <w:rPr>
          <w:rFonts w:hint="eastAsia" w:ascii="方正小标宋简体" w:hAnsi="方正小标宋简体" w:eastAsia="方正小标宋简体" w:cs="方正小标宋简体"/>
          <w:b/>
          <w:bCs/>
          <w:color w:val="FFFFFF"/>
          <w:spacing w:val="-147"/>
          <w:w w:val="72"/>
          <w:sz w:val="110"/>
          <w:szCs w:val="110"/>
          <w:lang w:val="en-US" w:eastAsia="zh-CN"/>
        </w:rPr>
        <w:t xml:space="preserve"> </w:t>
      </w:r>
      <w:r>
        <w:rPr>
          <w:rFonts w:hint="eastAsia" w:ascii="方正小标宋简体" w:hAnsi="方正小标宋简体" w:eastAsia="方正小标宋简体" w:cs="方正小标宋简体"/>
          <w:b/>
          <w:bCs/>
          <w:color w:val="FFFFFF"/>
          <w:spacing w:val="79"/>
          <w:w w:val="72"/>
          <w:sz w:val="110"/>
          <w:szCs w:val="110"/>
          <w:lang w:val="en-US" w:eastAsia="zh-CN"/>
        </w:rPr>
        <w:t>城</w:t>
      </w:r>
      <w:r>
        <w:rPr>
          <w:rFonts w:hint="eastAsia" w:ascii="方正小标宋简体" w:hAnsi="方正小标宋简体" w:eastAsia="方正小标宋简体" w:cs="方正小标宋简体"/>
          <w:b/>
          <w:bCs/>
          <w:color w:val="FFFFFF"/>
          <w:spacing w:val="-147"/>
          <w:w w:val="72"/>
          <w:sz w:val="110"/>
          <w:szCs w:val="110"/>
          <w:lang w:val="en-US" w:eastAsia="zh-CN"/>
        </w:rPr>
        <w:t xml:space="preserve"> </w:t>
      </w:r>
      <w:r>
        <w:rPr>
          <w:rFonts w:hint="eastAsia" w:ascii="方正小标宋简体" w:hAnsi="方正小标宋简体" w:eastAsia="方正小标宋简体" w:cs="方正小标宋简体"/>
          <w:b/>
          <w:bCs/>
          <w:color w:val="FFFFFF"/>
          <w:spacing w:val="79"/>
          <w:w w:val="72"/>
          <w:sz w:val="110"/>
          <w:szCs w:val="110"/>
          <w:lang w:val="en-US" w:eastAsia="zh-CN"/>
        </w:rPr>
        <w:t>市</w:t>
      </w:r>
      <w:r>
        <w:rPr>
          <w:rFonts w:hint="eastAsia" w:ascii="方正小标宋简体" w:hAnsi="方正小标宋简体" w:eastAsia="方正小标宋简体" w:cs="方正小标宋简体"/>
          <w:b/>
          <w:bCs/>
          <w:color w:val="FFFFFF"/>
          <w:spacing w:val="-147"/>
          <w:w w:val="72"/>
          <w:sz w:val="110"/>
          <w:szCs w:val="110"/>
          <w:lang w:val="en-US" w:eastAsia="zh-CN"/>
        </w:rPr>
        <w:t xml:space="preserve"> </w:t>
      </w:r>
      <w:r>
        <w:rPr>
          <w:rFonts w:hint="eastAsia" w:ascii="方正小标宋简体" w:hAnsi="方正小标宋简体" w:eastAsia="方正小标宋简体" w:cs="方正小标宋简体"/>
          <w:b/>
          <w:bCs/>
          <w:color w:val="FFFFFF"/>
          <w:spacing w:val="79"/>
          <w:w w:val="72"/>
          <w:sz w:val="110"/>
          <w:szCs w:val="110"/>
          <w:lang w:val="en-US" w:eastAsia="zh-CN"/>
        </w:rPr>
        <w:t>学</w:t>
      </w:r>
      <w:r>
        <w:rPr>
          <w:rFonts w:hint="eastAsia" w:ascii="方正小标宋简体" w:hAnsi="方正小标宋简体" w:eastAsia="方正小标宋简体" w:cs="方正小标宋简体"/>
          <w:b/>
          <w:bCs/>
          <w:color w:val="FFFFFF"/>
          <w:spacing w:val="-147"/>
          <w:w w:val="72"/>
          <w:sz w:val="110"/>
          <w:szCs w:val="110"/>
          <w:lang w:val="en-US" w:eastAsia="zh-CN"/>
        </w:rPr>
        <w:t xml:space="preserve"> </w:t>
      </w:r>
      <w:r>
        <w:rPr>
          <w:rFonts w:hint="eastAsia" w:ascii="方正小标宋简体" w:hAnsi="方正小标宋简体" w:eastAsia="方正小标宋简体" w:cs="方正小标宋简体"/>
          <w:b/>
          <w:bCs/>
          <w:color w:val="FFFFFF"/>
          <w:spacing w:val="79"/>
          <w:w w:val="72"/>
          <w:sz w:val="110"/>
          <w:szCs w:val="110"/>
          <w:lang w:val="en-US" w:eastAsia="zh-CN"/>
        </w:rPr>
        <w:t>院</w:t>
      </w:r>
      <w:r>
        <w:rPr>
          <w:rFonts w:hint="eastAsia" w:ascii="方正小标宋简体" w:hAnsi="方正小标宋简体" w:eastAsia="方正小标宋简体" w:cs="方正小标宋简体"/>
          <w:b/>
          <w:bCs/>
          <w:color w:val="FFFFFF"/>
          <w:spacing w:val="-147"/>
          <w:w w:val="72"/>
          <w:sz w:val="110"/>
          <w:szCs w:val="110"/>
          <w:lang w:val="en-US" w:eastAsia="zh-CN"/>
        </w:rPr>
        <w:t xml:space="preserve"> </w:t>
      </w:r>
      <w:r>
        <w:rPr>
          <w:rFonts w:hint="eastAsia" w:ascii="方正小标宋简体" w:hAnsi="方正小标宋简体" w:eastAsia="方正小标宋简体" w:cs="方正小标宋简体"/>
          <w:b/>
          <w:bCs/>
          <w:color w:val="FFFFFF"/>
          <w:spacing w:val="79"/>
          <w:w w:val="72"/>
          <w:sz w:val="110"/>
          <w:szCs w:val="110"/>
          <w:lang w:val="en-US" w:eastAsia="zh-CN"/>
        </w:rPr>
        <w:t>文</w:t>
      </w:r>
      <w:r>
        <w:rPr>
          <w:rFonts w:hint="eastAsia" w:ascii="方正小标宋简体" w:hAnsi="方正小标宋简体" w:eastAsia="方正小标宋简体" w:cs="方正小标宋简体"/>
          <w:b/>
          <w:bCs/>
          <w:color w:val="FFFFFF"/>
          <w:spacing w:val="-147"/>
          <w:w w:val="72"/>
          <w:sz w:val="110"/>
          <w:szCs w:val="110"/>
          <w:lang w:val="en-US" w:eastAsia="zh-CN"/>
        </w:rPr>
        <w:t xml:space="preserve"> </w:t>
      </w:r>
      <w:r>
        <w:rPr>
          <w:rFonts w:hint="eastAsia" w:ascii="方正小标宋简体" w:hAnsi="方正小标宋简体" w:eastAsia="方正小标宋简体" w:cs="方正小标宋简体"/>
          <w:b/>
          <w:bCs/>
          <w:color w:val="FFFFFF"/>
          <w:spacing w:val="79"/>
          <w:w w:val="72"/>
          <w:sz w:val="110"/>
          <w:szCs w:val="110"/>
          <w:lang w:val="en-US" w:eastAsia="zh-CN"/>
        </w:rPr>
        <w:t>件</w:t>
      </w:r>
    </w:p>
    <w:p>
      <w:pPr>
        <w:keepNext w:val="0"/>
        <w:keepLines w:val="0"/>
        <w:pageBreakBefore w:val="0"/>
        <w:widowControl w:val="0"/>
        <w:kinsoku/>
        <w:wordWrap/>
        <w:overflowPunct/>
        <w:topLinePunct w:val="0"/>
        <w:autoSpaceDE/>
        <w:autoSpaceDN/>
        <w:bidi w:val="0"/>
        <w:adjustRightInd/>
        <w:snapToGrid/>
        <w:spacing w:after="313" w:afterLines="100" w:line="80" w:lineRule="exact"/>
        <w:jc w:val="center"/>
        <w:textAlignment w:val="auto"/>
        <w:rPr>
          <w:rFonts w:hint="eastAsia" w:ascii="仿宋_GB2312" w:hAnsi="仿宋_GB2312" w:eastAsia="仿宋_GB2312" w:cs="仿宋_GB2312"/>
          <w:color w:val="auto"/>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313" w:afterLines="100" w:line="400" w:lineRule="exact"/>
        <w:jc w:val="center"/>
        <w:textAlignment w:val="auto"/>
        <w:rPr>
          <w:rFonts w:hint="default"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校字〔2022〕60号</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b w:val="0"/>
          <w:bCs w:val="0"/>
          <w:color w:val="auto"/>
          <w:spacing w:val="0"/>
          <w:sz w:val="44"/>
          <w:szCs w:val="44"/>
          <w:lang w:val="en-US" w:eastAsia="zh-CN"/>
        </w:rPr>
      </w:pP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60288" behindDoc="0" locked="0" layoutInCell="1" allowOverlap="1">
                <wp:simplePos x="0" y="0"/>
                <wp:positionH relativeFrom="column">
                  <wp:posOffset>-13970</wp:posOffset>
                </wp:positionH>
                <wp:positionV relativeFrom="paragraph">
                  <wp:posOffset>119380</wp:posOffset>
                </wp:positionV>
                <wp:extent cx="5647690" cy="5080"/>
                <wp:effectExtent l="0" t="19050" r="10160" b="33020"/>
                <wp:wrapNone/>
                <wp:docPr id="1" name="直接连接符 1"/>
                <wp:cNvGraphicFramePr/>
                <a:graphic xmlns:a="http://schemas.openxmlformats.org/drawingml/2006/main">
                  <a:graphicData uri="http://schemas.microsoft.com/office/word/2010/wordprocessingShape">
                    <wps:wsp>
                      <wps:cNvCnPr/>
                      <wps:spPr>
                        <a:xfrm>
                          <a:off x="0" y="0"/>
                          <a:ext cx="5647690" cy="5080"/>
                        </a:xfrm>
                        <a:prstGeom prst="line">
                          <a:avLst/>
                        </a:prstGeom>
                        <a:ln w="38100" cap="flat" cmpd="sng">
                          <a:solidFill>
                            <a:srgbClr val="FFFFFF"/>
                          </a:solidFill>
                          <a:prstDash val="solid"/>
                          <a:miter/>
                          <a:headEnd type="none" w="med" len="med"/>
                          <a:tailEnd type="none" w="med" len="med"/>
                        </a:ln>
                      </wps:spPr>
                      <wps:bodyPr/>
                    </wps:wsp>
                  </a:graphicData>
                </a:graphic>
              </wp:anchor>
            </w:drawing>
          </mc:Choice>
          <mc:Fallback>
            <w:pict>
              <v:line id="_x0000_s1026" o:spid="_x0000_s1026" o:spt="20" style="position:absolute;left:0pt;margin-left:-1.1pt;margin-top:9.4pt;height:0.4pt;width:444.7pt;z-index:251660288;mso-width-relative:page;mso-height-relative:page;" filled="f" stroked="t" coordsize="21600,21600" o:gfxdata="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iuqwJ9cAAAAIAQAADwAAAAAAAAABACAAAAAiAAAAZHJzL2Rvd25yZXYueG1sUEsB&#10;AhQAFAAAAAgAh07iQJq/ftT2AQAA5gMAAA4AAAAAAAAAAQAgAAAAJgEAAGRycy9lMm9Eb2MueG1s&#10;UEsFBgAAAAAGAAYAWQEAAI4FAAAAAA==&#10;">
                <v:fill on="f" focussize="0,0"/>
                <v:stroke weight="3pt" color="#FFFFFF"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b w:val="0"/>
          <w:bCs w:val="0"/>
          <w:color w:val="auto"/>
          <w:spacing w:val="0"/>
          <w:sz w:val="44"/>
          <w:szCs w:val="44"/>
          <w:lang w:val="en-US" w:eastAsia="zh-CN"/>
        </w:rPr>
      </w:pPr>
    </w:p>
    <w:p>
      <w:pPr>
        <w:pStyle w:val="3"/>
        <w:keepNext/>
        <w:keepLines/>
        <w:pageBreakBefore w:val="0"/>
        <w:widowControl w:val="0"/>
        <w:kinsoku/>
        <w:wordWrap/>
        <w:overflowPunct/>
        <w:topLinePunct w:val="0"/>
        <w:autoSpaceDE/>
        <w:autoSpaceDN/>
        <w:bidi w:val="0"/>
        <w:adjustRightInd/>
        <w:snapToGrid/>
        <w:spacing w:before="0" w:beforeLines="0" w:after="0" w:afterLines="0" w:line="640" w:lineRule="exact"/>
        <w:textAlignment w:val="auto"/>
        <w:rPr>
          <w:rFonts w:hint="eastAsia" w:ascii="方正小标宋简体" w:hAnsi="方正小标宋简体" w:eastAsia="方正小标宋简体" w:cs="方正小标宋简体"/>
          <w:b/>
          <w:bCs/>
          <w:sz w:val="44"/>
          <w:szCs w:val="44"/>
          <w:lang w:val="en-US" w:eastAsia="zh-CN"/>
        </w:rPr>
      </w:pPr>
      <w:bookmarkStart w:id="0" w:name="_bookmark7"/>
      <w:bookmarkEnd w:id="0"/>
      <w:bookmarkStart w:id="1" w:name="二、资产业务线"/>
      <w:bookmarkEnd w:id="1"/>
      <w:r>
        <w:rPr>
          <w:rFonts w:hint="eastAsia" w:ascii="方正小标宋简体" w:hAnsi="方正小标宋简体" w:eastAsia="方正小标宋简体" w:cs="方正小标宋简体"/>
          <w:b/>
          <w:bCs/>
          <w:sz w:val="44"/>
          <w:szCs w:val="44"/>
          <w:lang w:val="en-US" w:eastAsia="zh-CN"/>
        </w:rPr>
        <w:t>关于印发《合肥城市学院学生管理规定》</w:t>
      </w:r>
    </w:p>
    <w:p>
      <w:pPr>
        <w:pStyle w:val="3"/>
        <w:keepNext/>
        <w:keepLines/>
        <w:pageBreakBefore w:val="0"/>
        <w:widowControl w:val="0"/>
        <w:kinsoku/>
        <w:wordWrap/>
        <w:overflowPunct/>
        <w:topLinePunct w:val="0"/>
        <w:autoSpaceDE/>
        <w:autoSpaceDN/>
        <w:bidi w:val="0"/>
        <w:adjustRightInd/>
        <w:snapToGrid/>
        <w:spacing w:before="0" w:beforeLines="0" w:after="0" w:afterLines="0" w:line="640" w:lineRule="exact"/>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b/>
          <w:bCs/>
          <w:sz w:val="44"/>
          <w:szCs w:val="44"/>
          <w:lang w:val="en-US" w:eastAsia="zh-CN"/>
        </w:rPr>
        <w:t>的通知</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校属各单位：</w:t>
      </w:r>
    </w:p>
    <w:p>
      <w:pPr>
        <w:pStyle w:val="3"/>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kern w:val="2"/>
          <w:sz w:val="32"/>
          <w:szCs w:val="32"/>
          <w:lang w:val="en-US" w:eastAsia="zh-CN" w:bidi="ar-SA"/>
        </w:rPr>
        <w:t>《合肥城市学院学生管理规定</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业</w:t>
      </w:r>
      <w:r>
        <w:rPr>
          <w:rFonts w:hint="eastAsia" w:ascii="仿宋" w:hAnsi="仿宋" w:eastAsia="仿宋" w:cs="仿宋"/>
          <w:sz w:val="32"/>
          <w:szCs w:val="32"/>
          <w:lang w:eastAsia="zh-CN"/>
        </w:rPr>
        <w:t>经校长办公会议审议通过，现予</w:t>
      </w:r>
      <w:r>
        <w:rPr>
          <w:rFonts w:hint="eastAsia" w:ascii="仿宋" w:hAnsi="仿宋" w:eastAsia="仿宋" w:cs="仿宋"/>
          <w:sz w:val="32"/>
          <w:szCs w:val="32"/>
          <w:lang w:val="en-US" w:eastAsia="zh-CN"/>
        </w:rPr>
        <w:t>以</w:t>
      </w:r>
      <w:r>
        <w:rPr>
          <w:rFonts w:hint="eastAsia" w:ascii="仿宋" w:hAnsi="仿宋" w:eastAsia="仿宋" w:cs="仿宋"/>
          <w:sz w:val="32"/>
          <w:szCs w:val="32"/>
          <w:lang w:eastAsia="zh-CN"/>
        </w:rPr>
        <w:t>印发，请遵照执行。</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附件：</w:t>
      </w:r>
      <w:r>
        <w:rPr>
          <w:rFonts w:hint="eastAsia" w:ascii="仿宋" w:hAnsi="仿宋" w:eastAsia="仿宋" w:cs="仿宋"/>
          <w:kern w:val="2"/>
          <w:sz w:val="32"/>
          <w:szCs w:val="32"/>
          <w:lang w:val="en-US" w:eastAsia="zh-CN" w:bidi="ar-SA"/>
        </w:rPr>
        <w:t>合肥城市学院学生管理规定</w:t>
      </w:r>
    </w:p>
    <w:p>
      <w:pPr>
        <w:pStyle w:val="4"/>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262626"/>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合肥城市学院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2022年7月20日</w:t>
      </w:r>
    </w:p>
    <w:p>
      <w:pPr>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sz w:val="32"/>
          <w:szCs w:val="32"/>
          <w:lang w:val="en-US" w:eastAsia="zh-CN"/>
        </w:rPr>
      </w:pPr>
    </w:p>
    <w:p>
      <w:pPr>
        <w:pStyle w:val="4"/>
        <w:ind w:left="0"/>
        <w:jc w:val="both"/>
        <w:rPr>
          <w:rFonts w:hint="eastAsia" w:ascii="黑体" w:hAnsi="黑体" w:eastAsia="黑体" w:cs="黑体"/>
          <w:lang w:val="en-US" w:eastAsia="zh-CN"/>
        </w:rPr>
      </w:pPr>
      <w:r>
        <w:rPr>
          <w:rFonts w:hint="eastAsia" w:ascii="黑体" w:hAnsi="黑体" w:eastAsia="黑体" w:cs="黑体"/>
          <w:lang w:val="en-US" w:eastAsia="zh-CN"/>
        </w:rPr>
        <w:t>附件</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jc w:val="center"/>
        <w:textAlignment w:val="auto"/>
        <w:rPr>
          <w:rFonts w:hint="eastAsia" w:ascii="方正小标宋简体" w:hAnsi="方正小标宋简体" w:eastAsia="方正小标宋简体" w:cs="方正小标宋简体"/>
          <w:b/>
          <w:bCs/>
          <w:kern w:val="2"/>
          <w:sz w:val="44"/>
          <w:szCs w:val="44"/>
          <w:lang w:val="en-US" w:eastAsia="zh-CN" w:bidi="ar-SA"/>
        </w:rPr>
      </w:pPr>
      <w:r>
        <w:rPr>
          <w:rFonts w:hint="eastAsia" w:ascii="方正小标宋简体" w:hAnsi="方正小标宋简体" w:eastAsia="方正小标宋简体" w:cs="方正小标宋简体"/>
          <w:b/>
          <w:bCs/>
          <w:kern w:val="2"/>
          <w:sz w:val="44"/>
          <w:szCs w:val="44"/>
          <w:lang w:val="en-US" w:eastAsia="zh-CN" w:bidi="ar-SA"/>
        </w:rPr>
        <w:t>合肥城市学院学生管理规定</w:t>
      </w:r>
    </w:p>
    <w:p>
      <w:pPr>
        <w:pStyle w:val="11"/>
        <w:keepNext w:val="0"/>
        <w:keepLines w:val="0"/>
        <w:pageBreakBefore w:val="0"/>
        <w:widowControl w:val="0"/>
        <w:kinsoku/>
        <w:wordWrap/>
        <w:overflowPunct/>
        <w:topLinePunct w:val="0"/>
        <w:autoSpaceDE/>
        <w:autoSpaceDN/>
        <w:bidi w:val="0"/>
        <w:adjustRightInd w:val="0"/>
        <w:snapToGrid w:val="0"/>
        <w:spacing w:before="156" w:beforeLines="50" w:beforeAutospacing="0" w:after="156" w:afterLines="50" w:afterAutospacing="0" w:line="560" w:lineRule="exact"/>
        <w:jc w:val="center"/>
        <w:textAlignment w:val="auto"/>
        <w:rPr>
          <w:rFonts w:hint="eastAsia" w:ascii="黑体" w:hAnsi="黑体" w:eastAsia="黑体" w:cs="黑体"/>
          <w:b/>
          <w:color w:val="auto"/>
          <w:sz w:val="32"/>
          <w:szCs w:val="32"/>
        </w:rPr>
      </w:pPr>
      <w:r>
        <w:rPr>
          <w:rFonts w:hint="eastAsia" w:ascii="黑体" w:hAnsi="黑体" w:eastAsia="黑体" w:cs="黑体"/>
          <w:b/>
          <w:color w:val="auto"/>
          <w:sz w:val="32"/>
          <w:szCs w:val="32"/>
        </w:rPr>
        <w:t>第一章  总  则</w:t>
      </w:r>
    </w:p>
    <w:p>
      <w:pPr>
        <w:keepNext w:val="0"/>
        <w:keepLines w:val="0"/>
        <w:pageBreakBefore w:val="0"/>
        <w:widowControl w:val="0"/>
        <w:kinsoku/>
        <w:wordWrap/>
        <w:overflowPunct/>
        <w:topLinePunct w:val="0"/>
        <w:autoSpaceDE/>
        <w:autoSpaceDN/>
        <w:bidi w:val="0"/>
        <w:snapToGrid w:val="0"/>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 xml:space="preserve">    第一条</w:t>
      </w:r>
      <w:r>
        <w:rPr>
          <w:rFonts w:hint="eastAsia" w:ascii="仿宋" w:hAnsi="仿宋" w:eastAsia="仿宋" w:cs="仿宋"/>
          <w:sz w:val="32"/>
          <w:szCs w:val="32"/>
        </w:rPr>
        <w:t xml:space="preserve"> 为规范合肥城市学院（以下简称 “学校”）学生管理行为，维护学校正常的教育教学秩序和生活秩序，保障学生合法权益，培养德、智、体、美、劳等全面发展的社会主义建设者和接班人，依据《教育法》《高等教育法》《普通高等学校学生管理规定》《高等学校学生行为准则》以及其他有关法律、法规，结合学校实际，制定本规定。</w:t>
      </w:r>
    </w:p>
    <w:p>
      <w:pPr>
        <w:keepNext w:val="0"/>
        <w:keepLines w:val="0"/>
        <w:pageBreakBefore w:val="0"/>
        <w:widowControl w:val="0"/>
        <w:kinsoku/>
        <w:wordWrap/>
        <w:overflowPunct/>
        <w:topLinePunct w:val="0"/>
        <w:autoSpaceDE/>
        <w:autoSpaceDN/>
        <w:bidi w:val="0"/>
        <w:snapToGrid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第二条</w:t>
      </w:r>
      <w:r>
        <w:rPr>
          <w:rFonts w:hint="eastAsia" w:ascii="仿宋" w:hAnsi="仿宋" w:eastAsia="仿宋" w:cs="仿宋"/>
          <w:sz w:val="32"/>
          <w:szCs w:val="32"/>
        </w:rPr>
        <w:t xml:space="preserve"> 本规定适用于在我校接受普通高等学历教育的本科学生的管理。</w:t>
      </w:r>
    </w:p>
    <w:p>
      <w:pPr>
        <w:keepNext w:val="0"/>
        <w:keepLines w:val="0"/>
        <w:pageBreakBefore w:val="0"/>
        <w:widowControl w:val="0"/>
        <w:kinsoku/>
        <w:wordWrap/>
        <w:overflowPunct/>
        <w:topLinePunct w:val="0"/>
        <w:autoSpaceDE/>
        <w:autoSpaceDN/>
        <w:bidi w:val="0"/>
        <w:snapToGrid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第三条</w:t>
      </w:r>
      <w:r>
        <w:rPr>
          <w:rFonts w:hint="eastAsia" w:ascii="仿宋" w:hAnsi="仿宋" w:eastAsia="仿宋" w:cs="仿宋"/>
          <w:sz w:val="32"/>
          <w:szCs w:val="32"/>
        </w:rPr>
        <w:t xml:space="preserve"> 学校坚持社会主义办学方向，坚持马克思主义的指导地位，全面贯彻国家教育方针；坚持</w:t>
      </w:r>
      <w:r>
        <w:rPr>
          <w:rFonts w:hint="eastAsia" w:ascii="仿宋" w:hAnsi="仿宋" w:eastAsia="仿宋" w:cs="仿宋"/>
          <w:color w:val="FF0000"/>
          <w:sz w:val="32"/>
          <w:szCs w:val="32"/>
          <w:lang w:val="en-US" w:eastAsia="zh-CN"/>
        </w:rPr>
        <w:t>立</w:t>
      </w:r>
      <w:r>
        <w:rPr>
          <w:rFonts w:hint="eastAsia" w:ascii="仿宋" w:hAnsi="仿宋" w:eastAsia="仿宋" w:cs="仿宋"/>
          <w:color w:val="FF0000"/>
          <w:sz w:val="32"/>
          <w:szCs w:val="32"/>
        </w:rPr>
        <w:t>德</w:t>
      </w:r>
      <w:r>
        <w:rPr>
          <w:rFonts w:hint="eastAsia" w:ascii="仿宋" w:hAnsi="仿宋" w:eastAsia="仿宋" w:cs="仿宋"/>
          <w:sz w:val="32"/>
          <w:szCs w:val="32"/>
        </w:rPr>
        <w:t>树人为根本，以理想信念教育为核心，培育和践行社会主义核心价值观，弘扬中华优秀传统文化和革命文化、社会主义先进文化，培养学生的社会责任感、创新精神和实践能力；坚持依法治校，科学管理，健全和完善管理制度，规范管理行为，将管理与育人相结合，不断提高管理和服务水平。</w:t>
      </w:r>
    </w:p>
    <w:p>
      <w:pPr>
        <w:keepNext w:val="0"/>
        <w:keepLines w:val="0"/>
        <w:pageBreakBefore w:val="0"/>
        <w:widowControl w:val="0"/>
        <w:kinsoku/>
        <w:wordWrap/>
        <w:overflowPunct/>
        <w:topLinePunct w:val="0"/>
        <w:autoSpaceDE/>
        <w:autoSpaceDN/>
        <w:bidi w:val="0"/>
        <w:snapToGrid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第四条</w:t>
      </w:r>
      <w:r>
        <w:rPr>
          <w:rFonts w:hint="eastAsia" w:ascii="仿宋" w:hAnsi="仿宋" w:eastAsia="仿宋" w:cs="仿宋"/>
          <w:sz w:val="32"/>
          <w:szCs w:val="32"/>
        </w:rPr>
        <w:t xml:space="preserve"> 学生应当拥护中国共产党领导，努力学习马克思列宁主义、毛泽东思想、中国特色社会主义理论体系，深入学习习近平总书记系列重要讲话精神和治国理政新理念新思想新战略，坚定中国特色社会主义道路自信、理论自信、制度自信、文化自信、树立中国特色社会主义共同理想；应当树立爱国主义思想，具有团结统一、爱好和平、勤劳勇敢、自强不息的精神；应当增强法制观念，遵守宪法、法律、法规，遵守公民道德规范，遵守</w:t>
      </w:r>
      <w:r>
        <w:rPr>
          <w:rFonts w:hint="eastAsia" w:ascii="仿宋" w:hAnsi="仿宋" w:eastAsia="仿宋" w:cs="仿宋"/>
          <w:color w:val="FF0000"/>
          <w:sz w:val="32"/>
          <w:szCs w:val="32"/>
          <w:lang w:val="en-US" w:eastAsia="zh-CN"/>
        </w:rPr>
        <w:t>学校</w:t>
      </w:r>
      <w:r>
        <w:rPr>
          <w:rFonts w:hint="eastAsia" w:ascii="仿宋" w:hAnsi="仿宋" w:eastAsia="仿宋" w:cs="仿宋"/>
          <w:sz w:val="32"/>
          <w:szCs w:val="32"/>
        </w:rPr>
        <w:t xml:space="preserve">管理制度，具有良好的道德品质和行为习惯；应当刻苦学习，勇于探索，积极实践，努力掌握现代科学文化知识和专业技能；应当积极锻炼身体，增进身心健康，提高个人修养，培养审美情趣。 </w:t>
      </w:r>
    </w:p>
    <w:p>
      <w:pPr>
        <w:keepNext w:val="0"/>
        <w:keepLines w:val="0"/>
        <w:pageBreakBefore w:val="0"/>
        <w:widowControl w:val="0"/>
        <w:kinsoku/>
        <w:wordWrap/>
        <w:overflowPunct/>
        <w:topLinePunct w:val="0"/>
        <w:autoSpaceDE/>
        <w:autoSpaceDN/>
        <w:bidi w:val="0"/>
        <w:snapToGrid w:val="0"/>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 xml:space="preserve">    第五条</w:t>
      </w:r>
      <w:r>
        <w:rPr>
          <w:rFonts w:hint="eastAsia" w:ascii="仿宋" w:hAnsi="仿宋" w:eastAsia="仿宋" w:cs="仿宋"/>
          <w:sz w:val="32"/>
          <w:szCs w:val="32"/>
        </w:rPr>
        <w:t xml:space="preserve"> 实施学生管理，应当尊重和保护学生的合法权利，教育和引导学生承担应尽的义务和责任，鼓励和支持学生实行自我管理、自我服务、自我教育、自我监督。</w:t>
      </w:r>
    </w:p>
    <w:p>
      <w:pPr>
        <w:pStyle w:val="11"/>
        <w:keepNext w:val="0"/>
        <w:keepLines w:val="0"/>
        <w:pageBreakBefore w:val="0"/>
        <w:widowControl w:val="0"/>
        <w:kinsoku/>
        <w:wordWrap/>
        <w:overflowPunct/>
        <w:topLinePunct w:val="0"/>
        <w:autoSpaceDE/>
        <w:autoSpaceDN/>
        <w:bidi w:val="0"/>
        <w:adjustRightInd w:val="0"/>
        <w:snapToGrid w:val="0"/>
        <w:spacing w:before="156" w:beforeLines="50" w:beforeAutospacing="0" w:after="156" w:afterLines="50" w:afterAutospacing="0" w:line="560" w:lineRule="exact"/>
        <w:jc w:val="center"/>
        <w:textAlignment w:val="auto"/>
        <w:rPr>
          <w:rFonts w:hint="eastAsia" w:ascii="黑体" w:hAnsi="黑体" w:eastAsia="黑体" w:cs="黑体"/>
          <w:b/>
          <w:color w:val="auto"/>
          <w:sz w:val="32"/>
          <w:szCs w:val="32"/>
        </w:rPr>
      </w:pPr>
      <w:bookmarkStart w:id="2" w:name="_Toc208810696"/>
      <w:r>
        <w:rPr>
          <w:rFonts w:hint="eastAsia" w:ascii="黑体" w:hAnsi="黑体" w:eastAsia="黑体" w:cs="黑体"/>
          <w:b/>
          <w:color w:val="auto"/>
          <w:sz w:val="32"/>
          <w:szCs w:val="32"/>
        </w:rPr>
        <w:t>第二章  学生的权利与义务</w:t>
      </w:r>
      <w:bookmarkEnd w:id="2"/>
    </w:p>
    <w:p>
      <w:pPr>
        <w:keepNext w:val="0"/>
        <w:keepLines w:val="0"/>
        <w:pageBreakBefore w:val="0"/>
        <w:widowControl w:val="0"/>
        <w:kinsoku/>
        <w:wordWrap/>
        <w:overflowPunct/>
        <w:topLinePunct w:val="0"/>
        <w:autoSpaceDE/>
        <w:autoSpaceDN/>
        <w:bidi w:val="0"/>
        <w:snapToGrid w:val="0"/>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 xml:space="preserve">    第六条 </w:t>
      </w:r>
      <w:r>
        <w:rPr>
          <w:rFonts w:hint="eastAsia" w:ascii="仿宋" w:hAnsi="仿宋" w:eastAsia="仿宋" w:cs="仿宋"/>
          <w:sz w:val="32"/>
          <w:szCs w:val="32"/>
        </w:rPr>
        <w:t>学生在校期间依法享有下列权利：</w:t>
      </w:r>
    </w:p>
    <w:p>
      <w:pPr>
        <w:keepNext w:val="0"/>
        <w:keepLines w:val="0"/>
        <w:pageBreakBefore w:val="0"/>
        <w:widowControl w:val="0"/>
        <w:kinsoku/>
        <w:wordWrap/>
        <w:overflowPunct/>
        <w:topLinePunct w:val="0"/>
        <w:autoSpaceDE/>
        <w:autoSpaceDN/>
        <w:bidi w:val="0"/>
        <w:snapToGrid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（一）参加学校教育教学计划安排的各项活动，使用学校提供的教育教学资源；</w:t>
      </w:r>
    </w:p>
    <w:p>
      <w:pPr>
        <w:keepNext w:val="0"/>
        <w:keepLines w:val="0"/>
        <w:pageBreakBefore w:val="0"/>
        <w:widowControl w:val="0"/>
        <w:kinsoku/>
        <w:wordWrap/>
        <w:overflowPunct/>
        <w:topLinePunct w:val="0"/>
        <w:autoSpaceDE/>
        <w:autoSpaceDN/>
        <w:bidi w:val="0"/>
        <w:snapToGrid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（二）参加社会实践、志愿服务、勤工助学、文娱体育及科技文化创新等活动，获得就业创业指导和服务；</w:t>
      </w:r>
    </w:p>
    <w:p>
      <w:pPr>
        <w:keepNext w:val="0"/>
        <w:keepLines w:val="0"/>
        <w:pageBreakBefore w:val="0"/>
        <w:widowControl w:val="0"/>
        <w:kinsoku/>
        <w:wordWrap/>
        <w:overflowPunct/>
        <w:topLinePunct w:val="0"/>
        <w:autoSpaceDE/>
        <w:autoSpaceDN/>
        <w:bidi w:val="0"/>
        <w:snapToGrid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（三）申请奖学金、助学金及助学贷款；</w:t>
      </w:r>
    </w:p>
    <w:p>
      <w:pPr>
        <w:keepNext w:val="0"/>
        <w:keepLines w:val="0"/>
        <w:pageBreakBefore w:val="0"/>
        <w:widowControl w:val="0"/>
        <w:kinsoku/>
        <w:wordWrap/>
        <w:overflowPunct/>
        <w:topLinePunct w:val="0"/>
        <w:autoSpaceDE/>
        <w:autoSpaceDN/>
        <w:bidi w:val="0"/>
        <w:snapToGrid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（四）在思想品德、学业成绩等方面获得科学、公正评价，完成学校规定学业后获得相应的学历证书、学位证书；</w:t>
      </w:r>
    </w:p>
    <w:p>
      <w:pPr>
        <w:keepNext w:val="0"/>
        <w:keepLines w:val="0"/>
        <w:pageBreakBefore w:val="0"/>
        <w:widowControl w:val="0"/>
        <w:kinsoku/>
        <w:wordWrap/>
        <w:overflowPunct/>
        <w:topLinePunct w:val="0"/>
        <w:autoSpaceDE/>
        <w:autoSpaceDN/>
        <w:bidi w:val="0"/>
        <w:snapToGrid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（五）在校内组织、参加学生团体，以适当方式参与学校管理，对学校与学生权益相关事务享有知情权、参与权、表达权和监督权；</w:t>
      </w:r>
    </w:p>
    <w:p>
      <w:pPr>
        <w:keepNext w:val="0"/>
        <w:keepLines w:val="0"/>
        <w:pageBreakBefore w:val="0"/>
        <w:widowControl w:val="0"/>
        <w:kinsoku/>
        <w:wordWrap/>
        <w:overflowPunct/>
        <w:topLinePunct w:val="0"/>
        <w:autoSpaceDE/>
        <w:autoSpaceDN/>
        <w:bidi w:val="0"/>
        <w:snapToGrid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（六）对学校给予的处分或者处理有异议，向学校、教育行政部门提出申诉；对学校、教职员工侵犯其人身权、财产权等合法权益，提出申诉或者依法提起诉讼；</w:t>
      </w:r>
    </w:p>
    <w:p>
      <w:pPr>
        <w:keepNext w:val="0"/>
        <w:keepLines w:val="0"/>
        <w:pageBreakBefore w:val="0"/>
        <w:widowControl w:val="0"/>
        <w:kinsoku/>
        <w:wordWrap/>
        <w:overflowPunct/>
        <w:topLinePunct w:val="0"/>
        <w:autoSpaceDE/>
        <w:autoSpaceDN/>
        <w:bidi w:val="0"/>
        <w:snapToGrid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（七）法律、法规及学校章程规定的其他权利。</w:t>
      </w:r>
    </w:p>
    <w:p>
      <w:pPr>
        <w:keepNext w:val="0"/>
        <w:keepLines w:val="0"/>
        <w:pageBreakBefore w:val="0"/>
        <w:widowControl w:val="0"/>
        <w:kinsoku/>
        <w:wordWrap/>
        <w:overflowPunct/>
        <w:topLinePunct w:val="0"/>
        <w:autoSpaceDE/>
        <w:autoSpaceDN/>
        <w:bidi w:val="0"/>
        <w:snapToGrid w:val="0"/>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 xml:space="preserve">    第七条</w:t>
      </w:r>
      <w:r>
        <w:rPr>
          <w:rFonts w:hint="eastAsia" w:ascii="仿宋" w:hAnsi="仿宋" w:eastAsia="仿宋" w:cs="仿宋"/>
          <w:sz w:val="32"/>
          <w:szCs w:val="32"/>
        </w:rPr>
        <w:t xml:space="preserve"> 学生在校期间依法履行下列义务：</w:t>
      </w:r>
    </w:p>
    <w:p>
      <w:pPr>
        <w:keepNext w:val="0"/>
        <w:keepLines w:val="0"/>
        <w:pageBreakBefore w:val="0"/>
        <w:widowControl w:val="0"/>
        <w:kinsoku/>
        <w:wordWrap/>
        <w:overflowPunct/>
        <w:topLinePunct w:val="0"/>
        <w:autoSpaceDE/>
        <w:autoSpaceDN/>
        <w:bidi w:val="0"/>
        <w:snapToGrid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（一）遵守宪法和法律、法规；</w:t>
      </w:r>
    </w:p>
    <w:p>
      <w:pPr>
        <w:keepNext w:val="0"/>
        <w:keepLines w:val="0"/>
        <w:pageBreakBefore w:val="0"/>
        <w:widowControl w:val="0"/>
        <w:kinsoku/>
        <w:wordWrap/>
        <w:overflowPunct/>
        <w:topLinePunct w:val="0"/>
        <w:autoSpaceDE/>
        <w:autoSpaceDN/>
        <w:bidi w:val="0"/>
        <w:snapToGrid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（二）遵守学校章程和规章制度；</w:t>
      </w:r>
    </w:p>
    <w:p>
      <w:pPr>
        <w:keepNext w:val="0"/>
        <w:keepLines w:val="0"/>
        <w:pageBreakBefore w:val="0"/>
        <w:widowControl w:val="0"/>
        <w:kinsoku/>
        <w:wordWrap/>
        <w:overflowPunct/>
        <w:topLinePunct w:val="0"/>
        <w:autoSpaceDE/>
        <w:autoSpaceDN/>
        <w:bidi w:val="0"/>
        <w:snapToGrid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（三）恪守学术道德，完成规定学业；</w:t>
      </w:r>
    </w:p>
    <w:p>
      <w:pPr>
        <w:keepNext w:val="0"/>
        <w:keepLines w:val="0"/>
        <w:pageBreakBefore w:val="0"/>
        <w:widowControl w:val="0"/>
        <w:kinsoku/>
        <w:wordWrap/>
        <w:overflowPunct/>
        <w:topLinePunct w:val="0"/>
        <w:autoSpaceDE/>
        <w:autoSpaceDN/>
        <w:bidi w:val="0"/>
        <w:snapToGrid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（四）按规定缴纳学费及有关费用，履行获得贷学金及助学金的相应义务；</w:t>
      </w:r>
    </w:p>
    <w:p>
      <w:pPr>
        <w:keepNext w:val="0"/>
        <w:keepLines w:val="0"/>
        <w:pageBreakBefore w:val="0"/>
        <w:widowControl w:val="0"/>
        <w:kinsoku/>
        <w:wordWrap/>
        <w:overflowPunct/>
        <w:topLinePunct w:val="0"/>
        <w:autoSpaceDE/>
        <w:autoSpaceDN/>
        <w:bidi w:val="0"/>
        <w:snapToGrid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（五）遵守学生行为规范，尊敬师长，养成良好的思想品德和行为习惯；</w:t>
      </w:r>
    </w:p>
    <w:p>
      <w:pPr>
        <w:keepNext w:val="0"/>
        <w:keepLines w:val="0"/>
        <w:pageBreakBefore w:val="0"/>
        <w:widowControl w:val="0"/>
        <w:kinsoku/>
        <w:wordWrap/>
        <w:overflowPunct/>
        <w:topLinePunct w:val="0"/>
        <w:autoSpaceDE/>
        <w:autoSpaceDN/>
        <w:bidi w:val="0"/>
        <w:snapToGrid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（六）法律、法规及学校章程规定的其他义务。</w:t>
      </w:r>
    </w:p>
    <w:p>
      <w:pPr>
        <w:pStyle w:val="11"/>
        <w:keepNext w:val="0"/>
        <w:keepLines w:val="0"/>
        <w:pageBreakBefore w:val="0"/>
        <w:widowControl w:val="0"/>
        <w:kinsoku/>
        <w:wordWrap/>
        <w:overflowPunct/>
        <w:topLinePunct w:val="0"/>
        <w:autoSpaceDE/>
        <w:autoSpaceDN/>
        <w:bidi w:val="0"/>
        <w:adjustRightInd w:val="0"/>
        <w:snapToGrid w:val="0"/>
        <w:spacing w:before="156" w:beforeLines="50" w:beforeAutospacing="0" w:after="156" w:afterLines="50" w:afterAutospacing="0" w:line="560" w:lineRule="exact"/>
        <w:jc w:val="center"/>
        <w:textAlignment w:val="auto"/>
        <w:rPr>
          <w:rFonts w:hint="eastAsia" w:ascii="黑体" w:hAnsi="黑体" w:eastAsia="黑体" w:cs="黑体"/>
          <w:b/>
          <w:color w:val="auto"/>
          <w:sz w:val="32"/>
          <w:szCs w:val="32"/>
        </w:rPr>
      </w:pPr>
      <w:bookmarkStart w:id="3" w:name="_Toc208810704"/>
      <w:r>
        <w:rPr>
          <w:rFonts w:hint="eastAsia" w:ascii="黑体" w:hAnsi="黑体" w:eastAsia="黑体" w:cs="黑体"/>
          <w:b/>
          <w:color w:val="auto"/>
          <w:sz w:val="32"/>
          <w:szCs w:val="32"/>
        </w:rPr>
        <w:t>第三章  校园秩序与课外活动</w:t>
      </w:r>
      <w:bookmarkEnd w:id="3"/>
    </w:p>
    <w:p>
      <w:pPr>
        <w:keepNext w:val="0"/>
        <w:keepLines w:val="0"/>
        <w:pageBreakBefore w:val="0"/>
        <w:widowControl w:val="0"/>
        <w:kinsoku/>
        <w:wordWrap/>
        <w:overflowPunct/>
        <w:topLinePunct w:val="0"/>
        <w:autoSpaceDE/>
        <w:autoSpaceDN/>
        <w:bidi w:val="0"/>
        <w:snapToGrid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第八条</w:t>
      </w:r>
      <w:r>
        <w:rPr>
          <w:rFonts w:hint="eastAsia" w:ascii="仿宋" w:hAnsi="仿宋" w:eastAsia="仿宋" w:cs="仿宋"/>
          <w:sz w:val="32"/>
          <w:szCs w:val="32"/>
        </w:rPr>
        <w:t xml:space="preserve"> 学校、学生应当维护校园正常秩序，保障学校环境安全、稳定，保障学生的正常学习和生活。</w:t>
      </w:r>
    </w:p>
    <w:p>
      <w:pPr>
        <w:keepNext w:val="0"/>
        <w:keepLines w:val="0"/>
        <w:pageBreakBefore w:val="0"/>
        <w:widowControl w:val="0"/>
        <w:kinsoku/>
        <w:wordWrap/>
        <w:overflowPunct/>
        <w:topLinePunct w:val="0"/>
        <w:autoSpaceDE/>
        <w:autoSpaceDN/>
        <w:bidi w:val="0"/>
        <w:snapToGrid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第九条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学校通过校务公开、学生代表提案、来信来访等方式，支持和保障学生依法、依章程参与学校管理。</w:t>
      </w:r>
    </w:p>
    <w:p>
      <w:pPr>
        <w:keepNext w:val="0"/>
        <w:keepLines w:val="0"/>
        <w:pageBreakBefore w:val="0"/>
        <w:widowControl w:val="0"/>
        <w:kinsoku/>
        <w:wordWrap/>
        <w:overflowPunct/>
        <w:topLinePunct w:val="0"/>
        <w:autoSpaceDE/>
        <w:autoSpaceDN/>
        <w:bidi w:val="0"/>
        <w:snapToGrid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第十条 </w:t>
      </w:r>
      <w:r>
        <w:rPr>
          <w:rFonts w:hint="eastAsia" w:ascii="仿宋" w:hAnsi="仿宋" w:eastAsia="仿宋" w:cs="仿宋"/>
          <w:sz w:val="32"/>
          <w:szCs w:val="32"/>
        </w:rPr>
        <w:t>学生应当自觉遵守公民道德规范，自觉遵守学校管理制度，创造和维护文明、整洁、优美、安全的学习和生活环境，树立安全风险防范和自我保护意识，保障自身合法权益。</w:t>
      </w:r>
    </w:p>
    <w:p>
      <w:pPr>
        <w:keepNext w:val="0"/>
        <w:keepLines w:val="0"/>
        <w:pageBreakBefore w:val="0"/>
        <w:widowControl w:val="0"/>
        <w:kinsoku/>
        <w:wordWrap/>
        <w:overflowPunct/>
        <w:topLinePunct w:val="0"/>
        <w:autoSpaceDE/>
        <w:autoSpaceDN/>
        <w:bidi w:val="0"/>
        <w:snapToGrid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第十一条</w:t>
      </w:r>
      <w:r>
        <w:rPr>
          <w:rFonts w:hint="eastAsia" w:ascii="仿宋" w:hAnsi="仿宋" w:eastAsia="仿宋" w:cs="仿宋"/>
          <w:sz w:val="32"/>
          <w:szCs w:val="32"/>
        </w:rPr>
        <w:t xml:space="preserve"> 学生不得有酗酒、打架斗殴、赌博、吸毒，传播、复制、贩卖非法书刊和音像制品等违法行为；不得参与非法传销和进行邪教、封建迷信活动；不得从事或者参与有损大学生形象、有悖社会公序良俗的活动。</w:t>
      </w:r>
    </w:p>
    <w:p>
      <w:pPr>
        <w:keepNext w:val="0"/>
        <w:keepLines w:val="0"/>
        <w:pageBreakBefore w:val="0"/>
        <w:widowControl w:val="0"/>
        <w:kinsoku/>
        <w:wordWrap/>
        <w:overflowPunct/>
        <w:topLinePunct w:val="0"/>
        <w:autoSpaceDE/>
        <w:autoSpaceDN/>
        <w:bidi w:val="0"/>
        <w:snapToGrid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学校发现学生在校内有违法行为或者严重精神疾病可能对他人造成伤害的，可以依法采取或者协助有关部门采取必要措施。 </w:t>
      </w:r>
    </w:p>
    <w:p>
      <w:pPr>
        <w:keepNext w:val="0"/>
        <w:keepLines w:val="0"/>
        <w:pageBreakBefore w:val="0"/>
        <w:widowControl w:val="0"/>
        <w:kinsoku/>
        <w:wordWrap/>
        <w:overflowPunct/>
        <w:topLinePunct w:val="0"/>
        <w:autoSpaceDE/>
        <w:autoSpaceDN/>
        <w:bidi w:val="0"/>
        <w:snapToGrid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第十二条</w:t>
      </w:r>
      <w:r>
        <w:rPr>
          <w:rFonts w:hint="eastAsia" w:ascii="仿宋" w:hAnsi="仿宋" w:eastAsia="仿宋" w:cs="仿宋"/>
          <w:sz w:val="32"/>
          <w:szCs w:val="32"/>
        </w:rPr>
        <w:t xml:space="preserve"> 学校应当坚持教育与宗教相分离原则。任何组织和个人不得在学校进行宗教活动。</w:t>
      </w:r>
    </w:p>
    <w:p>
      <w:pPr>
        <w:keepNext w:val="0"/>
        <w:keepLines w:val="0"/>
        <w:pageBreakBefore w:val="0"/>
        <w:widowControl w:val="0"/>
        <w:kinsoku/>
        <w:wordWrap/>
        <w:overflowPunct/>
        <w:topLinePunct w:val="0"/>
        <w:autoSpaceDE/>
        <w:autoSpaceDN/>
        <w:bidi w:val="0"/>
        <w:snapToGrid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第十三条</w:t>
      </w:r>
      <w:r>
        <w:rPr>
          <w:rFonts w:hint="eastAsia" w:ascii="仿宋" w:hAnsi="仿宋" w:eastAsia="仿宋" w:cs="仿宋"/>
          <w:sz w:val="32"/>
          <w:szCs w:val="32"/>
        </w:rPr>
        <w:t xml:space="preserve"> 学校应当建立健全学生代表大会制度，为学生会开展活动提供必要条件，支持其在学生管理中发挥作用。</w:t>
      </w:r>
    </w:p>
    <w:p>
      <w:pPr>
        <w:keepNext w:val="0"/>
        <w:keepLines w:val="0"/>
        <w:pageBreakBefore w:val="0"/>
        <w:widowControl w:val="0"/>
        <w:kinsoku/>
        <w:wordWrap/>
        <w:overflowPunct/>
        <w:topLinePunct w:val="0"/>
        <w:autoSpaceDE/>
        <w:autoSpaceDN/>
        <w:bidi w:val="0"/>
        <w:snapToGrid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学生可以在</w:t>
      </w:r>
      <w:r>
        <w:rPr>
          <w:rFonts w:hint="eastAsia" w:ascii="仿宋" w:hAnsi="仿宋" w:eastAsia="仿宋" w:cs="仿宋"/>
          <w:color w:val="FF0000"/>
          <w:sz w:val="32"/>
          <w:szCs w:val="32"/>
        </w:rPr>
        <w:t>校</w:t>
      </w:r>
      <w:r>
        <w:rPr>
          <w:rFonts w:hint="eastAsia" w:ascii="仿宋" w:hAnsi="仿宋" w:eastAsia="仿宋" w:cs="仿宋"/>
          <w:sz w:val="32"/>
          <w:szCs w:val="32"/>
        </w:rPr>
        <w:t>内成立、参加学生团体。学生成立团体，应当按学校有关规定提出书面申请，报学校批准并施行登记和年检制度。</w:t>
      </w:r>
    </w:p>
    <w:p>
      <w:pPr>
        <w:keepNext w:val="0"/>
        <w:keepLines w:val="0"/>
        <w:pageBreakBefore w:val="0"/>
        <w:widowControl w:val="0"/>
        <w:kinsoku/>
        <w:wordWrap/>
        <w:overflowPunct/>
        <w:topLinePunct w:val="0"/>
        <w:autoSpaceDE/>
        <w:autoSpaceDN/>
        <w:bidi w:val="0"/>
        <w:snapToGrid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学生团体应当在宪法、法律、法规和学校管理规定范围内活动，接受学校的领导和管理。学生团体邀请校外组织、人员到校举办讲座等活动，需经学校批准。</w:t>
      </w:r>
    </w:p>
    <w:p>
      <w:pPr>
        <w:keepNext w:val="0"/>
        <w:keepLines w:val="0"/>
        <w:pageBreakBefore w:val="0"/>
        <w:widowControl w:val="0"/>
        <w:kinsoku/>
        <w:wordWrap/>
        <w:overflowPunct/>
        <w:topLinePunct w:val="0"/>
        <w:autoSpaceDE/>
        <w:autoSpaceDN/>
        <w:bidi w:val="0"/>
        <w:snapToGrid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第十四条</w:t>
      </w:r>
      <w:r>
        <w:rPr>
          <w:rFonts w:hint="eastAsia" w:ascii="仿宋" w:hAnsi="仿宋" w:eastAsia="仿宋" w:cs="仿宋"/>
          <w:sz w:val="32"/>
          <w:szCs w:val="32"/>
        </w:rPr>
        <w:t xml:space="preserve"> 学校提倡并支持学生及学生团体开展有益于身心健康、成长成才的学术、科技、艺术、文娱、体育等活动。</w:t>
      </w:r>
    </w:p>
    <w:p>
      <w:pPr>
        <w:keepNext w:val="0"/>
        <w:keepLines w:val="0"/>
        <w:pageBreakBefore w:val="0"/>
        <w:widowControl w:val="0"/>
        <w:kinsoku/>
        <w:wordWrap/>
        <w:overflowPunct/>
        <w:topLinePunct w:val="0"/>
        <w:autoSpaceDE/>
        <w:autoSpaceDN/>
        <w:bidi w:val="0"/>
        <w:snapToGrid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学生进行课外活动不得影响学校正常的教育教学秩序和生活秩序下进行。</w:t>
      </w:r>
    </w:p>
    <w:p>
      <w:pPr>
        <w:keepNext w:val="0"/>
        <w:keepLines w:val="0"/>
        <w:pageBreakBefore w:val="0"/>
        <w:widowControl w:val="0"/>
        <w:kinsoku/>
        <w:wordWrap/>
        <w:overflowPunct/>
        <w:topLinePunct w:val="0"/>
        <w:autoSpaceDE/>
        <w:autoSpaceDN/>
        <w:bidi w:val="0"/>
        <w:snapToGrid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学生参加勤工助学活动应当遵守法律、法规以及学校、用工单位的管理制度，履行勤工助学活动的有关协议。</w:t>
      </w:r>
    </w:p>
    <w:p>
      <w:pPr>
        <w:keepNext w:val="0"/>
        <w:keepLines w:val="0"/>
        <w:pageBreakBefore w:val="0"/>
        <w:widowControl w:val="0"/>
        <w:kinsoku/>
        <w:wordWrap/>
        <w:overflowPunct/>
        <w:topLinePunct w:val="0"/>
        <w:autoSpaceDE/>
        <w:autoSpaceDN/>
        <w:bidi w:val="0"/>
        <w:snapToGrid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第十五条</w:t>
      </w:r>
      <w:r>
        <w:rPr>
          <w:rFonts w:hint="eastAsia" w:ascii="仿宋" w:hAnsi="仿宋" w:eastAsia="仿宋" w:cs="仿宋"/>
          <w:sz w:val="32"/>
          <w:szCs w:val="32"/>
        </w:rPr>
        <w:t xml:space="preserve"> 学生举行大型集会、游行、示威等活动，应当按法律程序和有关规定获得批准。对未获批准的，学校应当依法劝阻或者制止。</w:t>
      </w:r>
    </w:p>
    <w:p>
      <w:pPr>
        <w:keepNext w:val="0"/>
        <w:keepLines w:val="0"/>
        <w:pageBreakBefore w:val="0"/>
        <w:widowControl w:val="0"/>
        <w:kinsoku/>
        <w:wordWrap/>
        <w:overflowPunct/>
        <w:topLinePunct w:val="0"/>
        <w:autoSpaceDE/>
        <w:autoSpaceDN/>
        <w:bidi w:val="0"/>
        <w:snapToGrid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第十六条</w:t>
      </w:r>
      <w:r>
        <w:rPr>
          <w:rFonts w:hint="eastAsia" w:ascii="仿宋" w:hAnsi="仿宋" w:eastAsia="仿宋" w:cs="仿宋"/>
          <w:sz w:val="32"/>
          <w:szCs w:val="32"/>
        </w:rPr>
        <w:t xml:space="preserve"> 学生应当遵循国家和学校关于网络使用的有关规定，不得登录非法网站和传播非法文字、音频、视频资料等，不得编造或者传播虚假、有害信息；不得攻击、侵入他人计算机和移动通讯网络系统。</w:t>
      </w:r>
    </w:p>
    <w:p>
      <w:pPr>
        <w:keepNext w:val="0"/>
        <w:keepLines w:val="0"/>
        <w:pageBreakBefore w:val="0"/>
        <w:widowControl w:val="0"/>
        <w:kinsoku/>
        <w:wordWrap/>
        <w:overflowPunct/>
        <w:topLinePunct w:val="0"/>
        <w:autoSpaceDE/>
        <w:autoSpaceDN/>
        <w:bidi w:val="0"/>
        <w:snapToGrid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第十七条</w:t>
      </w:r>
      <w:r>
        <w:rPr>
          <w:rFonts w:hint="eastAsia" w:ascii="仿宋" w:hAnsi="仿宋" w:eastAsia="仿宋" w:cs="仿宋"/>
          <w:sz w:val="32"/>
          <w:szCs w:val="32"/>
        </w:rPr>
        <w:t xml:space="preserve"> 学校应当建立健全学生住宿管理规定。学生应当遵守学校关于学生住宿管理的规定。鼓励和支持学生通过制定公约，实施自我管理。</w:t>
      </w:r>
    </w:p>
    <w:p>
      <w:pPr>
        <w:pStyle w:val="11"/>
        <w:keepNext w:val="0"/>
        <w:keepLines w:val="0"/>
        <w:pageBreakBefore w:val="0"/>
        <w:widowControl w:val="0"/>
        <w:kinsoku/>
        <w:wordWrap/>
        <w:overflowPunct/>
        <w:topLinePunct w:val="0"/>
        <w:autoSpaceDE/>
        <w:autoSpaceDN/>
        <w:bidi w:val="0"/>
        <w:adjustRightInd w:val="0"/>
        <w:snapToGrid w:val="0"/>
        <w:spacing w:before="156" w:beforeLines="50" w:beforeAutospacing="0" w:after="156" w:afterLines="50" w:afterAutospacing="0" w:line="560" w:lineRule="exact"/>
        <w:jc w:val="center"/>
        <w:textAlignment w:val="auto"/>
        <w:rPr>
          <w:rFonts w:hint="eastAsia" w:ascii="黑体" w:hAnsi="黑体" w:eastAsia="黑体" w:cs="黑体"/>
          <w:b/>
          <w:color w:val="auto"/>
          <w:sz w:val="32"/>
          <w:szCs w:val="32"/>
        </w:rPr>
      </w:pPr>
      <w:r>
        <w:rPr>
          <w:rFonts w:hint="eastAsia" w:ascii="黑体" w:hAnsi="黑体" w:eastAsia="黑体" w:cs="黑体"/>
          <w:b/>
          <w:color w:val="auto"/>
          <w:sz w:val="32"/>
          <w:szCs w:val="32"/>
        </w:rPr>
        <w:t>第四章  奖励与处分</w:t>
      </w:r>
    </w:p>
    <w:p>
      <w:pPr>
        <w:keepNext w:val="0"/>
        <w:keepLines w:val="0"/>
        <w:pageBreakBefore w:val="0"/>
        <w:widowControl w:val="0"/>
        <w:kinsoku/>
        <w:wordWrap/>
        <w:overflowPunct/>
        <w:topLinePunct w:val="0"/>
        <w:autoSpaceDE/>
        <w:autoSpaceDN/>
        <w:bidi w:val="0"/>
        <w:snapToGrid w:val="0"/>
        <w:spacing w:line="560" w:lineRule="exact"/>
        <w:ind w:firstLine="560"/>
        <w:textAlignment w:val="auto"/>
        <w:rPr>
          <w:rFonts w:hint="eastAsia" w:ascii="仿宋" w:hAnsi="仿宋" w:eastAsia="仿宋" w:cs="仿宋"/>
          <w:sz w:val="32"/>
          <w:szCs w:val="32"/>
        </w:rPr>
      </w:pPr>
      <w:r>
        <w:rPr>
          <w:rFonts w:hint="eastAsia" w:ascii="仿宋" w:hAnsi="仿宋" w:eastAsia="仿宋" w:cs="仿宋"/>
          <w:b/>
          <w:bCs/>
          <w:sz w:val="32"/>
          <w:szCs w:val="32"/>
        </w:rPr>
        <w:t xml:space="preserve">第十八条 </w:t>
      </w:r>
      <w:r>
        <w:rPr>
          <w:rFonts w:hint="eastAsia" w:ascii="仿宋" w:hAnsi="仿宋" w:eastAsia="仿宋" w:cs="仿宋"/>
          <w:sz w:val="32"/>
          <w:szCs w:val="32"/>
        </w:rPr>
        <w:t>学校对在德、智、体、美、劳等方面全面发展或者在思想品德、学业成绩、科技创造、文体活动、志愿服务及社会实践等方面表现突出的学生，给予表彰和奖励。学校对学生的表彰和奖励办法另行制定。</w:t>
      </w:r>
    </w:p>
    <w:p>
      <w:pPr>
        <w:keepNext w:val="0"/>
        <w:keepLines w:val="0"/>
        <w:pageBreakBefore w:val="0"/>
        <w:widowControl w:val="0"/>
        <w:kinsoku/>
        <w:wordWrap/>
        <w:overflowPunct/>
        <w:topLinePunct w:val="0"/>
        <w:autoSpaceDE/>
        <w:autoSpaceDN/>
        <w:bidi w:val="0"/>
        <w:snapToGrid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第十九条</w:t>
      </w:r>
      <w:r>
        <w:rPr>
          <w:rFonts w:hint="eastAsia" w:ascii="仿宋" w:hAnsi="仿宋" w:eastAsia="仿宋" w:cs="仿宋"/>
          <w:sz w:val="32"/>
          <w:szCs w:val="32"/>
        </w:rPr>
        <w:t xml:space="preserve"> 对有违法、违规、违纪行为的学生，学校按有关规定，给予批评教育或者纪律处分。学校给予学生的纪律处分，应当与学生违法、违规、违纪行为的性质和过错的严重程度相适应。</w:t>
      </w:r>
    </w:p>
    <w:p>
      <w:pPr>
        <w:keepNext w:val="0"/>
        <w:keepLines w:val="0"/>
        <w:pageBreakBefore w:val="0"/>
        <w:widowControl w:val="0"/>
        <w:kinsoku/>
        <w:wordWrap/>
        <w:overflowPunct/>
        <w:topLinePunct w:val="0"/>
        <w:autoSpaceDE/>
        <w:autoSpaceDN/>
        <w:bidi w:val="0"/>
        <w:snapToGrid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第二十条</w:t>
      </w:r>
      <w:r>
        <w:rPr>
          <w:rFonts w:hint="eastAsia" w:ascii="仿宋" w:hAnsi="仿宋" w:eastAsia="仿宋" w:cs="仿宋"/>
          <w:sz w:val="32"/>
          <w:szCs w:val="32"/>
        </w:rPr>
        <w:t xml:space="preserve"> 纪律处分的种类分为：</w:t>
      </w:r>
    </w:p>
    <w:p>
      <w:pPr>
        <w:keepNext w:val="0"/>
        <w:keepLines w:val="0"/>
        <w:pageBreakBefore w:val="0"/>
        <w:widowControl w:val="0"/>
        <w:kinsoku/>
        <w:wordWrap/>
        <w:overflowPunct/>
        <w:topLinePunct w:val="0"/>
        <w:autoSpaceDE/>
        <w:autoSpaceDN/>
        <w:bidi w:val="0"/>
        <w:snapToGrid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（一）警告;</w:t>
      </w:r>
    </w:p>
    <w:p>
      <w:pPr>
        <w:keepNext w:val="0"/>
        <w:keepLines w:val="0"/>
        <w:pageBreakBefore w:val="0"/>
        <w:widowControl w:val="0"/>
        <w:kinsoku/>
        <w:wordWrap/>
        <w:overflowPunct/>
        <w:topLinePunct w:val="0"/>
        <w:autoSpaceDE/>
        <w:autoSpaceDN/>
        <w:bidi w:val="0"/>
        <w:snapToGrid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（二）严重警告;</w:t>
      </w:r>
    </w:p>
    <w:p>
      <w:pPr>
        <w:keepNext w:val="0"/>
        <w:keepLines w:val="0"/>
        <w:pageBreakBefore w:val="0"/>
        <w:widowControl w:val="0"/>
        <w:kinsoku/>
        <w:wordWrap/>
        <w:overflowPunct/>
        <w:topLinePunct w:val="0"/>
        <w:autoSpaceDE/>
        <w:autoSpaceDN/>
        <w:bidi w:val="0"/>
        <w:snapToGrid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（三）记过;</w:t>
      </w:r>
    </w:p>
    <w:p>
      <w:pPr>
        <w:keepNext w:val="0"/>
        <w:keepLines w:val="0"/>
        <w:pageBreakBefore w:val="0"/>
        <w:widowControl w:val="0"/>
        <w:kinsoku/>
        <w:wordWrap/>
        <w:overflowPunct/>
        <w:topLinePunct w:val="0"/>
        <w:autoSpaceDE/>
        <w:autoSpaceDN/>
        <w:bidi w:val="0"/>
        <w:snapToGrid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（四）留校察看;</w:t>
      </w:r>
    </w:p>
    <w:p>
      <w:pPr>
        <w:keepNext w:val="0"/>
        <w:keepLines w:val="0"/>
        <w:pageBreakBefore w:val="0"/>
        <w:widowControl w:val="0"/>
        <w:kinsoku/>
        <w:wordWrap/>
        <w:overflowPunct/>
        <w:topLinePunct w:val="0"/>
        <w:autoSpaceDE/>
        <w:autoSpaceDN/>
        <w:bidi w:val="0"/>
        <w:snapToGrid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（五）开除学籍。</w:t>
      </w:r>
    </w:p>
    <w:p>
      <w:pPr>
        <w:keepNext w:val="0"/>
        <w:keepLines w:val="0"/>
        <w:pageBreakBefore w:val="0"/>
        <w:widowControl w:val="0"/>
        <w:kinsoku/>
        <w:wordWrap/>
        <w:overflowPunct/>
        <w:topLinePunct w:val="0"/>
        <w:autoSpaceDE/>
        <w:autoSpaceDN/>
        <w:bidi w:val="0"/>
        <w:snapToGrid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第二十一条</w:t>
      </w:r>
      <w:r>
        <w:rPr>
          <w:rFonts w:hint="eastAsia" w:ascii="仿宋" w:hAnsi="仿宋" w:eastAsia="仿宋" w:cs="仿宋"/>
          <w:sz w:val="32"/>
          <w:szCs w:val="32"/>
        </w:rPr>
        <w:t xml:space="preserve"> 学生有下列情形之一，可以给予开除学籍处分： </w:t>
      </w:r>
    </w:p>
    <w:p>
      <w:pPr>
        <w:keepNext w:val="0"/>
        <w:keepLines w:val="0"/>
        <w:pageBreakBefore w:val="0"/>
        <w:widowControl w:val="0"/>
        <w:kinsoku/>
        <w:wordWrap/>
        <w:overflowPunct/>
        <w:topLinePunct w:val="0"/>
        <w:autoSpaceDE/>
        <w:autoSpaceDN/>
        <w:bidi w:val="0"/>
        <w:snapToGrid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（一）违反宪法，反对四项基本原则、破坏安定团结、扰乱社会秩序的；</w:t>
      </w:r>
    </w:p>
    <w:p>
      <w:pPr>
        <w:keepNext w:val="0"/>
        <w:keepLines w:val="0"/>
        <w:pageBreakBefore w:val="0"/>
        <w:widowControl w:val="0"/>
        <w:kinsoku/>
        <w:wordWrap/>
        <w:overflowPunct/>
        <w:topLinePunct w:val="0"/>
        <w:autoSpaceDE/>
        <w:autoSpaceDN/>
        <w:bidi w:val="0"/>
        <w:snapToGrid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（二）触犯国家法律，构成刑事犯罪的；</w:t>
      </w:r>
    </w:p>
    <w:p>
      <w:pPr>
        <w:keepNext w:val="0"/>
        <w:keepLines w:val="0"/>
        <w:pageBreakBefore w:val="0"/>
        <w:widowControl w:val="0"/>
        <w:kinsoku/>
        <w:wordWrap/>
        <w:overflowPunct/>
        <w:topLinePunct w:val="0"/>
        <w:autoSpaceDE/>
        <w:autoSpaceDN/>
        <w:bidi w:val="0"/>
        <w:snapToGrid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（三）受到治安管理处罚，情节严重、性质恶劣的；</w:t>
      </w:r>
    </w:p>
    <w:p>
      <w:pPr>
        <w:keepNext w:val="0"/>
        <w:keepLines w:val="0"/>
        <w:pageBreakBefore w:val="0"/>
        <w:widowControl w:val="0"/>
        <w:kinsoku/>
        <w:wordWrap/>
        <w:overflowPunct/>
        <w:topLinePunct w:val="0"/>
        <w:autoSpaceDE/>
        <w:autoSpaceDN/>
        <w:bidi w:val="0"/>
        <w:snapToGrid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（四）代替他人或者让他人代替自己参加考试、组织作弊、使用通讯设备或其他器材作弊、向他人出售考试试题或答案牟取利益，以及其他严重作弊或扰乱考试秩序行为的；</w:t>
      </w:r>
    </w:p>
    <w:p>
      <w:pPr>
        <w:keepNext w:val="0"/>
        <w:keepLines w:val="0"/>
        <w:pageBreakBefore w:val="0"/>
        <w:widowControl w:val="0"/>
        <w:kinsoku/>
        <w:wordWrap/>
        <w:overflowPunct/>
        <w:topLinePunct w:val="0"/>
        <w:autoSpaceDE/>
        <w:autoSpaceDN/>
        <w:bidi w:val="0"/>
        <w:snapToGrid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（五）学位论文、公开发表的研究成果存在抄袭、篡改、伪造等学术不端行为，情节严重的，或者代写论文、买卖论文的；</w:t>
      </w:r>
    </w:p>
    <w:p>
      <w:pPr>
        <w:keepNext w:val="0"/>
        <w:keepLines w:val="0"/>
        <w:pageBreakBefore w:val="0"/>
        <w:widowControl w:val="0"/>
        <w:kinsoku/>
        <w:wordWrap/>
        <w:overflowPunct/>
        <w:topLinePunct w:val="0"/>
        <w:autoSpaceDE/>
        <w:autoSpaceDN/>
        <w:bidi w:val="0"/>
        <w:snapToGrid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（六）违反本规定和学校规定，严重影响学校教育教学秩序、生活秩序以及公共场所管理秩序的；</w:t>
      </w:r>
    </w:p>
    <w:p>
      <w:pPr>
        <w:keepNext w:val="0"/>
        <w:keepLines w:val="0"/>
        <w:pageBreakBefore w:val="0"/>
        <w:widowControl w:val="0"/>
        <w:kinsoku/>
        <w:wordWrap/>
        <w:overflowPunct/>
        <w:topLinePunct w:val="0"/>
        <w:autoSpaceDE/>
        <w:autoSpaceDN/>
        <w:bidi w:val="0"/>
        <w:snapToGrid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（七）侵害其他个人、组织合法权益，造成严重后果的；</w:t>
      </w:r>
    </w:p>
    <w:p>
      <w:pPr>
        <w:keepNext w:val="0"/>
        <w:keepLines w:val="0"/>
        <w:pageBreakBefore w:val="0"/>
        <w:widowControl w:val="0"/>
        <w:kinsoku/>
        <w:wordWrap/>
        <w:overflowPunct/>
        <w:topLinePunct w:val="0"/>
        <w:autoSpaceDE/>
        <w:autoSpaceDN/>
        <w:bidi w:val="0"/>
        <w:snapToGrid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（八）屡次违反学校规定受到纪律处分，经教育不改的。</w:t>
      </w:r>
    </w:p>
    <w:p>
      <w:pPr>
        <w:keepNext w:val="0"/>
        <w:keepLines w:val="0"/>
        <w:pageBreakBefore w:val="0"/>
        <w:widowControl w:val="0"/>
        <w:kinsoku/>
        <w:wordWrap/>
        <w:overflowPunct/>
        <w:topLinePunct w:val="0"/>
        <w:autoSpaceDE/>
        <w:autoSpaceDN/>
        <w:bidi w:val="0"/>
        <w:snapToGrid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第二十二条</w:t>
      </w:r>
      <w:r>
        <w:rPr>
          <w:rFonts w:hint="eastAsia" w:ascii="仿宋" w:hAnsi="仿宋" w:eastAsia="仿宋" w:cs="仿宋"/>
          <w:sz w:val="32"/>
          <w:szCs w:val="32"/>
        </w:rPr>
        <w:t xml:space="preserve"> 学校对学生作出处分，并出具处分决定书。处分决定书包括下列内容：</w:t>
      </w:r>
    </w:p>
    <w:p>
      <w:pPr>
        <w:keepNext w:val="0"/>
        <w:keepLines w:val="0"/>
        <w:pageBreakBefore w:val="0"/>
        <w:widowControl w:val="0"/>
        <w:kinsoku/>
        <w:wordWrap/>
        <w:overflowPunct/>
        <w:topLinePunct w:val="0"/>
        <w:autoSpaceDE/>
        <w:autoSpaceDN/>
        <w:bidi w:val="0"/>
        <w:snapToGrid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（一）学生的基本信息；</w:t>
      </w:r>
    </w:p>
    <w:p>
      <w:pPr>
        <w:keepNext w:val="0"/>
        <w:keepLines w:val="0"/>
        <w:pageBreakBefore w:val="0"/>
        <w:widowControl w:val="0"/>
        <w:kinsoku/>
        <w:wordWrap/>
        <w:overflowPunct/>
        <w:topLinePunct w:val="0"/>
        <w:autoSpaceDE/>
        <w:autoSpaceDN/>
        <w:bidi w:val="0"/>
        <w:snapToGrid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（二）作出处分的事实和证据；</w:t>
      </w:r>
    </w:p>
    <w:p>
      <w:pPr>
        <w:keepNext w:val="0"/>
        <w:keepLines w:val="0"/>
        <w:pageBreakBefore w:val="0"/>
        <w:widowControl w:val="0"/>
        <w:kinsoku/>
        <w:wordWrap/>
        <w:overflowPunct/>
        <w:topLinePunct w:val="0"/>
        <w:autoSpaceDE/>
        <w:autoSpaceDN/>
        <w:bidi w:val="0"/>
        <w:snapToGrid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（三）处分的种类、依据、期限；</w:t>
      </w:r>
    </w:p>
    <w:p>
      <w:pPr>
        <w:keepNext w:val="0"/>
        <w:keepLines w:val="0"/>
        <w:pageBreakBefore w:val="0"/>
        <w:widowControl w:val="0"/>
        <w:kinsoku/>
        <w:wordWrap/>
        <w:overflowPunct/>
        <w:topLinePunct w:val="0"/>
        <w:autoSpaceDE/>
        <w:autoSpaceDN/>
        <w:bidi w:val="0"/>
        <w:snapToGrid w:val="0"/>
        <w:spacing w:line="560" w:lineRule="exact"/>
        <w:ind w:firstLine="560"/>
        <w:textAlignment w:val="auto"/>
        <w:rPr>
          <w:rFonts w:hint="eastAsia" w:ascii="仿宋" w:hAnsi="仿宋" w:eastAsia="仿宋" w:cs="仿宋"/>
          <w:sz w:val="32"/>
          <w:szCs w:val="32"/>
        </w:rPr>
      </w:pPr>
      <w:r>
        <w:rPr>
          <w:rFonts w:hint="eastAsia" w:ascii="仿宋" w:hAnsi="仿宋" w:eastAsia="仿宋" w:cs="仿宋"/>
          <w:sz w:val="32"/>
          <w:szCs w:val="32"/>
        </w:rPr>
        <w:t>（四）申诉的途径和期限；</w:t>
      </w:r>
    </w:p>
    <w:p>
      <w:pPr>
        <w:keepNext w:val="0"/>
        <w:keepLines w:val="0"/>
        <w:pageBreakBefore w:val="0"/>
        <w:widowControl w:val="0"/>
        <w:kinsoku/>
        <w:wordWrap/>
        <w:overflowPunct/>
        <w:topLinePunct w:val="0"/>
        <w:autoSpaceDE/>
        <w:autoSpaceDN/>
        <w:bidi w:val="0"/>
        <w:snapToGrid w:val="0"/>
        <w:spacing w:line="560" w:lineRule="exact"/>
        <w:ind w:firstLine="560"/>
        <w:textAlignment w:val="auto"/>
        <w:rPr>
          <w:rFonts w:hint="eastAsia" w:ascii="仿宋" w:hAnsi="仿宋" w:eastAsia="仿宋" w:cs="仿宋"/>
          <w:sz w:val="32"/>
          <w:szCs w:val="32"/>
        </w:rPr>
      </w:pPr>
      <w:r>
        <w:rPr>
          <w:rFonts w:hint="eastAsia" w:ascii="仿宋" w:hAnsi="仿宋" w:eastAsia="仿宋" w:cs="仿宋"/>
          <w:sz w:val="32"/>
          <w:szCs w:val="32"/>
        </w:rPr>
        <w:t>（五）其他必要内容。</w:t>
      </w:r>
    </w:p>
    <w:p>
      <w:pPr>
        <w:keepNext w:val="0"/>
        <w:keepLines w:val="0"/>
        <w:pageBreakBefore w:val="0"/>
        <w:widowControl w:val="0"/>
        <w:kinsoku/>
        <w:wordWrap/>
        <w:overflowPunct/>
        <w:topLinePunct w:val="0"/>
        <w:autoSpaceDE/>
        <w:autoSpaceDN/>
        <w:bidi w:val="0"/>
        <w:snapToGrid w:val="0"/>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 xml:space="preserve">    第二十三条</w:t>
      </w:r>
      <w:r>
        <w:rPr>
          <w:rFonts w:hint="eastAsia" w:ascii="仿宋" w:hAnsi="仿宋" w:eastAsia="仿宋" w:cs="仿宋"/>
          <w:sz w:val="32"/>
          <w:szCs w:val="32"/>
        </w:rPr>
        <w:t xml:space="preserve"> 学校在对学生作出处分或其他不利决定前应当告知学生作出决定的事实、理由及依据，并告知学生享有陈述和申辩的权利，听取学生的陈述和申辩。</w:t>
      </w:r>
    </w:p>
    <w:p>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处理、处分决定以及处分告知书等，学校会直接送达学生本人，学生拒绝签收的，以留置方式送达；已离校的，采取邮寄方式送达；难于联系的，利用学校网站、新闻媒体等以公告方式送达。</w:t>
      </w:r>
    </w:p>
    <w:p>
      <w:pPr>
        <w:keepNext w:val="0"/>
        <w:keepLines w:val="0"/>
        <w:pageBreakBefore w:val="0"/>
        <w:widowControl w:val="0"/>
        <w:kinsoku/>
        <w:wordWrap/>
        <w:overflowPunct/>
        <w:topLinePunct w:val="0"/>
        <w:autoSpaceDE/>
        <w:autoSpaceDN/>
        <w:bidi w:val="0"/>
        <w:snapToGrid w:val="0"/>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 xml:space="preserve">    第二十四条</w:t>
      </w:r>
      <w:r>
        <w:rPr>
          <w:rFonts w:hint="eastAsia" w:ascii="仿宋" w:hAnsi="仿宋" w:eastAsia="仿宋" w:cs="仿宋"/>
          <w:sz w:val="32"/>
          <w:szCs w:val="32"/>
        </w:rPr>
        <w:t xml:space="preserve"> 对学生作出取消入学资格、取消学籍、退学、开除学籍等决定，由学生工作部门、教学管理部门提出建议，校长办公会研究决定，并在事先进行合法性审查。 </w:t>
      </w:r>
    </w:p>
    <w:p>
      <w:pPr>
        <w:keepNext w:val="0"/>
        <w:keepLines w:val="0"/>
        <w:pageBreakBefore w:val="0"/>
        <w:widowControl w:val="0"/>
        <w:kinsoku/>
        <w:wordWrap/>
        <w:overflowPunct/>
        <w:topLinePunct w:val="0"/>
        <w:autoSpaceDE/>
        <w:autoSpaceDN/>
        <w:bidi w:val="0"/>
        <w:snapToGrid w:val="0"/>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 xml:space="preserve">    第二十五条 </w:t>
      </w:r>
      <w:r>
        <w:rPr>
          <w:rFonts w:hint="eastAsia" w:ascii="仿宋" w:hAnsi="仿宋" w:eastAsia="仿宋" w:cs="仿宋"/>
          <w:sz w:val="32"/>
          <w:szCs w:val="32"/>
        </w:rPr>
        <w:t xml:space="preserve">对学生作出警告、严重警告处分，由违纪学生所在学院或学生工作部门决定，报学校主管部门备案；对学生作出记过、留校察看处分等决定，由学院查证并提出建议，报学校主管部门，经审核同意后，报分管校领导批准。 </w:t>
      </w:r>
    </w:p>
    <w:p>
      <w:pPr>
        <w:keepNext w:val="0"/>
        <w:keepLines w:val="0"/>
        <w:pageBreakBefore w:val="0"/>
        <w:widowControl w:val="0"/>
        <w:kinsoku/>
        <w:wordWrap/>
        <w:overflowPunct/>
        <w:topLinePunct w:val="0"/>
        <w:autoSpaceDE/>
        <w:autoSpaceDN/>
        <w:bidi w:val="0"/>
        <w:snapToGrid w:val="0"/>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 xml:space="preserve">    第二十六条</w:t>
      </w:r>
      <w:r>
        <w:rPr>
          <w:rFonts w:hint="eastAsia" w:ascii="仿宋" w:hAnsi="仿宋" w:eastAsia="仿宋" w:cs="仿宋"/>
          <w:sz w:val="32"/>
          <w:szCs w:val="32"/>
        </w:rPr>
        <w:t xml:space="preserve"> 学校成立学生申诉处理委员会，受理学生对取消入学资格、退学处理、违规违纪处分以及学生评奖评优等方面的申诉。 </w:t>
      </w:r>
    </w:p>
    <w:p>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学生申诉处理委员会由学校负责人、校办公室负责人、所在学院负责人和学生处负责人以及相关职能部处负责人、教师代表、学生代表及学校法律顾问等组成。学生申诉处理委员会下设办公室，负责委员会的日常事务。 </w:t>
      </w:r>
    </w:p>
    <w:p>
      <w:pPr>
        <w:keepNext w:val="0"/>
        <w:keepLines w:val="0"/>
        <w:pageBreakBefore w:val="0"/>
        <w:widowControl w:val="0"/>
        <w:kinsoku/>
        <w:wordWrap/>
        <w:overflowPunct/>
        <w:topLinePunct w:val="0"/>
        <w:autoSpaceDE/>
        <w:autoSpaceDN/>
        <w:bidi w:val="0"/>
        <w:snapToGrid w:val="0"/>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 xml:space="preserve">    第二十七条</w:t>
      </w:r>
      <w:r>
        <w:rPr>
          <w:rFonts w:hint="eastAsia" w:ascii="仿宋" w:hAnsi="仿宋" w:eastAsia="仿宋" w:cs="仿宋"/>
          <w:sz w:val="32"/>
          <w:szCs w:val="32"/>
        </w:rPr>
        <w:t xml:space="preserve"> 除开除学籍处分以外，给予学生的处分原则上为6到12个月，到期按学校规定程序予以解除。解除处分后，学生获得表彰、奖励、学位申请资格及其他权益，不再受原处分的影响。</w:t>
      </w:r>
    </w:p>
    <w:p>
      <w:pPr>
        <w:keepNext w:val="0"/>
        <w:keepLines w:val="0"/>
        <w:pageBreakBefore w:val="0"/>
        <w:widowControl w:val="0"/>
        <w:kinsoku/>
        <w:wordWrap/>
        <w:overflowPunct/>
        <w:topLinePunct w:val="0"/>
        <w:autoSpaceDE/>
        <w:autoSpaceDN/>
        <w:bidi w:val="0"/>
        <w:snapToGrid w:val="0"/>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 xml:space="preserve">    第二十八条</w:t>
      </w:r>
      <w:r>
        <w:rPr>
          <w:rFonts w:hint="eastAsia" w:ascii="仿宋" w:hAnsi="仿宋" w:eastAsia="仿宋" w:cs="仿宋"/>
          <w:sz w:val="32"/>
          <w:szCs w:val="32"/>
        </w:rPr>
        <w:t xml:space="preserve"> 对学生的奖励、处理、处分及解除处分材料，学校真实完整地归入学校文书档案和本人档案。</w:t>
      </w:r>
    </w:p>
    <w:p>
      <w:pPr>
        <w:keepNext w:val="0"/>
        <w:keepLines w:val="0"/>
        <w:pageBreakBefore w:val="0"/>
        <w:widowControl w:val="0"/>
        <w:kinsoku/>
        <w:wordWrap/>
        <w:overflowPunct/>
        <w:topLinePunct w:val="0"/>
        <w:autoSpaceDE/>
        <w:autoSpaceDN/>
        <w:bidi w:val="0"/>
        <w:snapToGrid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被开除学籍的学生，学校给予发放学习证明。学生按学校规定期限离校，档案由学校退回其家庭所在地，户口按照国家相关规定迁回原户籍地或者家庭户籍所在地。</w:t>
      </w:r>
    </w:p>
    <w:p>
      <w:pPr>
        <w:pStyle w:val="11"/>
        <w:keepNext w:val="0"/>
        <w:keepLines w:val="0"/>
        <w:pageBreakBefore w:val="0"/>
        <w:widowControl w:val="0"/>
        <w:kinsoku/>
        <w:wordWrap/>
        <w:overflowPunct/>
        <w:topLinePunct w:val="0"/>
        <w:autoSpaceDE/>
        <w:autoSpaceDN/>
        <w:bidi w:val="0"/>
        <w:adjustRightInd w:val="0"/>
        <w:snapToGrid w:val="0"/>
        <w:spacing w:before="156" w:beforeLines="50" w:beforeAutospacing="0" w:after="156" w:afterLines="50" w:afterAutospacing="0" w:line="560" w:lineRule="exact"/>
        <w:jc w:val="center"/>
        <w:textAlignment w:val="auto"/>
        <w:rPr>
          <w:rFonts w:hint="eastAsia" w:ascii="黑体" w:hAnsi="黑体" w:eastAsia="黑体" w:cs="黑体"/>
          <w:b/>
          <w:color w:val="auto"/>
          <w:sz w:val="32"/>
          <w:szCs w:val="32"/>
        </w:rPr>
      </w:pPr>
      <w:r>
        <w:rPr>
          <w:rFonts w:hint="eastAsia" w:ascii="黑体" w:hAnsi="黑体" w:eastAsia="黑体" w:cs="黑体"/>
          <w:b/>
          <w:color w:val="auto"/>
          <w:sz w:val="32"/>
          <w:szCs w:val="32"/>
        </w:rPr>
        <w:t>第五章  附  则</w:t>
      </w:r>
    </w:p>
    <w:p>
      <w:pPr>
        <w:keepNext w:val="0"/>
        <w:keepLines w:val="0"/>
        <w:pageBreakBefore w:val="0"/>
        <w:widowControl w:val="0"/>
        <w:kinsoku/>
        <w:wordWrap/>
        <w:overflowPunct/>
        <w:topLinePunct w:val="0"/>
        <w:autoSpaceDE/>
        <w:autoSpaceDN/>
        <w:bidi w:val="0"/>
        <w:snapToGrid w:val="0"/>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第二十九条</w:t>
      </w:r>
      <w:r>
        <w:rPr>
          <w:rFonts w:hint="eastAsia" w:ascii="仿宋" w:hAnsi="仿宋" w:eastAsia="仿宋" w:cs="仿宋"/>
          <w:sz w:val="32"/>
          <w:szCs w:val="32"/>
        </w:rPr>
        <w:t xml:space="preserve"> 本规定自发布之日起施行，适用于全体在校生，由学生处负责解释</w:t>
      </w:r>
      <w:r>
        <w:rPr>
          <w:rFonts w:hint="eastAsia" w:ascii="仿宋" w:hAnsi="仿宋" w:eastAsia="仿宋" w:cs="仿宋"/>
          <w:sz w:val="32"/>
          <w:szCs w:val="32"/>
          <w:lang w:eastAsia="zh-CN"/>
        </w:rPr>
        <w:t>。</w:t>
      </w:r>
    </w:p>
    <w:p>
      <w:pPr>
        <w:snapToGrid w:val="0"/>
        <w:rPr>
          <w:rFonts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rPr>
          <w:rFonts w:hint="eastAsia" w:ascii="仿宋" w:hAnsi="仿宋" w:eastAsia="仿宋" w:cs="仿宋"/>
          <w:sz w:val="32"/>
          <w:szCs w:val="32"/>
          <w:lang w:val="en-US" w:eastAsia="zh-CN"/>
        </w:rPr>
      </w:pPr>
    </w:p>
    <w:p>
      <w:pPr>
        <w:pStyle w:val="4"/>
        <w:rPr>
          <w:rFonts w:hint="eastAsia"/>
          <w:lang w:val="en-US" w:eastAsia="zh-CN"/>
        </w:rPr>
      </w:pPr>
    </w:p>
    <w:p>
      <w:pPr>
        <w:rPr>
          <w:rFonts w:hint="eastAsia"/>
          <w:lang w:val="en-US" w:eastAsia="zh-CN"/>
        </w:rPr>
      </w:pPr>
    </w:p>
    <w:p>
      <w:pPr>
        <w:pStyle w:val="4"/>
        <w:rPr>
          <w:rFonts w:hint="eastAsia"/>
          <w:lang w:val="en-US" w:eastAsia="zh-CN"/>
        </w:rPr>
      </w:pPr>
    </w:p>
    <w:p>
      <w:pPr>
        <w:rPr>
          <w:rFonts w:hint="eastAsia"/>
          <w:lang w:val="en-US" w:eastAsia="zh-CN"/>
        </w:rPr>
      </w:pPr>
    </w:p>
    <w:p>
      <w:pPr>
        <w:pStyle w:val="4"/>
        <w:rPr>
          <w:rFonts w:hint="eastAsia"/>
          <w:lang w:val="en-US" w:eastAsia="zh-CN"/>
        </w:rPr>
      </w:pPr>
    </w:p>
    <w:p>
      <w:pPr>
        <w:rPr>
          <w:rFonts w:hint="eastAsia"/>
          <w:lang w:val="en-US" w:eastAsia="zh-CN"/>
        </w:rPr>
      </w:pPr>
    </w:p>
    <w:p>
      <w:pPr>
        <w:pStyle w:val="4"/>
        <w:rPr>
          <w:rFonts w:hint="eastAsia"/>
          <w:lang w:val="en-US" w:eastAsia="zh-CN"/>
        </w:rPr>
      </w:pPr>
    </w:p>
    <w:p>
      <w:pPr>
        <w:rPr>
          <w:rFonts w:hint="eastAsia"/>
          <w:lang w:val="en-US" w:eastAsia="zh-CN"/>
        </w:rPr>
      </w:pPr>
    </w:p>
    <w:p>
      <w:pPr>
        <w:pStyle w:val="4"/>
        <w:rPr>
          <w:rFonts w:hint="eastAsia"/>
          <w:lang w:val="en-US" w:eastAsia="zh-CN"/>
        </w:rPr>
      </w:pPr>
    </w:p>
    <w:p>
      <w:pPr>
        <w:rPr>
          <w:rFonts w:hint="eastAsia"/>
          <w:lang w:val="en-US" w:eastAsia="zh-CN"/>
        </w:rPr>
      </w:pPr>
    </w:p>
    <w:p>
      <w:pPr>
        <w:pStyle w:val="4"/>
        <w:rPr>
          <w:rFonts w:hint="eastAsia"/>
          <w:lang w:val="en-US" w:eastAsia="zh-CN"/>
        </w:rPr>
      </w:pPr>
      <w:bookmarkStart w:id="4" w:name="_GoBack"/>
      <w:bookmarkEnd w:id="4"/>
    </w:p>
    <w:p>
      <w:pPr>
        <w:rPr>
          <w:rFonts w:hint="eastAsia"/>
          <w:lang w:val="en-US" w:eastAsia="zh-CN"/>
        </w:rPr>
      </w:pPr>
    </w:p>
    <w:p>
      <w:pPr>
        <w:pStyle w:val="4"/>
        <w:rPr>
          <w:rFonts w:hint="eastAsia"/>
          <w:lang w:val="en-US" w:eastAsia="zh-CN"/>
        </w:rPr>
      </w:pPr>
    </w:p>
    <w:p>
      <w:pPr>
        <w:rPr>
          <w:rFonts w:hint="eastAsia"/>
          <w:lang w:val="en-US" w:eastAsia="zh-CN"/>
        </w:rPr>
      </w:pPr>
    </w:p>
    <w:p>
      <w:pPr>
        <w:pStyle w:val="4"/>
        <w:rPr>
          <w:rFonts w:hint="eastAsia"/>
          <w:lang w:val="en-US" w:eastAsia="zh-CN"/>
        </w:rPr>
      </w:pPr>
    </w:p>
    <w:p>
      <w:pPr>
        <w:pStyle w:val="4"/>
        <w:rPr>
          <w:rFonts w:hint="eastAsia"/>
          <w:lang w:val="en-US" w:eastAsia="zh-CN"/>
        </w:rPr>
      </w:pPr>
    </w:p>
    <w:p>
      <w:pPr>
        <w:rPr>
          <w:rFonts w:hint="eastAsia"/>
          <w:lang w:val="en-US" w:eastAsia="zh-CN"/>
        </w:rPr>
      </w:pPr>
    </w:p>
    <w:p>
      <w:pPr>
        <w:pStyle w:val="4"/>
        <w:rPr>
          <w:rFonts w:hint="eastAsia"/>
          <w:lang w:val="en-US" w:eastAsia="zh-CN"/>
        </w:rPr>
      </w:pPr>
    </w:p>
    <w:p>
      <w:pPr>
        <w:rPr>
          <w:rFonts w:hint="eastAsia"/>
          <w:lang w:val="en-US" w:eastAsia="zh-CN"/>
        </w:rPr>
      </w:pPr>
    </w:p>
    <w:p>
      <w:pPr>
        <w:pStyle w:val="4"/>
        <w:rPr>
          <w:rFonts w:hint="eastAsia"/>
          <w:lang w:val="en-US" w:eastAsia="zh-CN"/>
        </w:rPr>
      </w:pPr>
    </w:p>
    <w:p>
      <w:pPr>
        <w:rPr>
          <w:rFonts w:hint="eastAsia"/>
          <w:lang w:val="en-US" w:eastAsia="zh-CN"/>
        </w:rPr>
      </w:pPr>
    </w:p>
    <w:p>
      <w:pPr>
        <w:pStyle w:val="4"/>
        <w:rPr>
          <w:rFonts w:hint="eastAsia"/>
          <w:lang w:val="en-US" w:eastAsia="zh-CN"/>
        </w:rPr>
      </w:pPr>
    </w:p>
    <w:p>
      <w:pPr>
        <w:rPr>
          <w:rFonts w:hint="eastAsia"/>
          <w:lang w:val="en-US" w:eastAsia="zh-CN"/>
        </w:rPr>
      </w:pPr>
    </w:p>
    <w:p>
      <w:pPr>
        <w:pStyle w:val="4"/>
        <w:rPr>
          <w:rFonts w:hint="eastAsia"/>
          <w:lang w:val="en-US" w:eastAsia="zh-CN"/>
        </w:rPr>
      </w:pPr>
    </w:p>
    <w:p>
      <w:pPr>
        <w:rPr>
          <w:rFonts w:hint="eastAsia"/>
          <w:lang w:val="en-US" w:eastAsia="zh-CN"/>
        </w:rPr>
      </w:pPr>
    </w:p>
    <w:p>
      <w:pPr>
        <w:pStyle w:val="4"/>
        <w:rPr>
          <w:rFonts w:hint="eastAsia"/>
          <w:lang w:val="en-US" w:eastAsia="zh-CN"/>
        </w:rPr>
      </w:pPr>
    </w:p>
    <w:p>
      <w:pPr>
        <w:rPr>
          <w:rFonts w:hint="eastAsia"/>
          <w:lang w:val="en-US" w:eastAsia="zh-CN"/>
        </w:rPr>
      </w:pPr>
    </w:p>
    <w:p>
      <w:pPr>
        <w:pStyle w:val="4"/>
        <w:rPr>
          <w:rFonts w:hint="eastAsia"/>
          <w:lang w:val="en-US" w:eastAsia="zh-CN"/>
        </w:rPr>
      </w:pPr>
    </w:p>
    <w:p>
      <w:pPr>
        <w:rPr>
          <w:rFonts w:hint="eastAsia"/>
          <w:lang w:val="en-US" w:eastAsia="zh-CN"/>
        </w:rPr>
      </w:pPr>
    </w:p>
    <w:p>
      <w:pPr>
        <w:pStyle w:val="4"/>
        <w:rPr>
          <w:rFonts w:hint="eastAsia"/>
          <w:lang w:val="en-US" w:eastAsia="zh-CN"/>
        </w:rPr>
      </w:pPr>
    </w:p>
    <w:p>
      <w:pPr>
        <w:rPr>
          <w:rFonts w:hint="eastAsia"/>
          <w:lang w:val="en-US" w:eastAsia="zh-CN"/>
        </w:rPr>
      </w:pPr>
    </w:p>
    <w:p>
      <w:pPr>
        <w:pStyle w:val="4"/>
        <w:rPr>
          <w:rFonts w:hint="eastAsia"/>
          <w:lang w:val="en-US" w:eastAsia="zh-CN"/>
        </w:rPr>
      </w:pPr>
    </w:p>
    <w:p>
      <w:pPr>
        <w:rPr>
          <w:rFonts w:hint="eastAsia"/>
          <w:lang w:val="en-US" w:eastAsia="zh-CN"/>
        </w:rPr>
      </w:pPr>
    </w:p>
    <w:p>
      <w:pPr>
        <w:pStyle w:val="4"/>
        <w:rPr>
          <w:rFonts w:hint="eastAsia"/>
          <w:lang w:val="en-US" w:eastAsia="zh-CN"/>
        </w:rPr>
      </w:pPr>
    </w:p>
    <w:p>
      <w:pPr>
        <w:rPr>
          <w:rFonts w:hint="eastAsia"/>
          <w:lang w:val="en-US" w:eastAsia="zh-CN"/>
        </w:rPr>
      </w:pPr>
    </w:p>
    <w:p>
      <w:pPr>
        <w:pStyle w:val="4"/>
        <w:rPr>
          <w:rFonts w:hint="eastAsia"/>
          <w:lang w:val="en-US" w:eastAsia="zh-CN"/>
        </w:rPr>
      </w:pPr>
    </w:p>
    <w:p>
      <w:pPr>
        <w:rPr>
          <w:rFonts w:hint="eastAsia"/>
          <w:lang w:val="en-US" w:eastAsia="zh-CN"/>
        </w:rPr>
      </w:pPr>
    </w:p>
    <w:p>
      <w:pPr>
        <w:pStyle w:val="4"/>
        <w:rPr>
          <w:rFonts w:hint="eastAsia"/>
          <w:lang w:val="en-US" w:eastAsia="zh-CN"/>
        </w:rPr>
      </w:pPr>
    </w:p>
    <w:p>
      <w:pPr>
        <w:rPr>
          <w:rFonts w:hint="eastAsia"/>
          <w:lang w:val="en-US" w:eastAsia="zh-CN"/>
        </w:rPr>
      </w:pPr>
    </w:p>
    <w:tbl>
      <w:tblPr>
        <w:tblStyle w:val="13"/>
        <w:tblpPr w:leftFromText="180" w:rightFromText="180" w:vertAnchor="text" w:horzAnchor="page" w:tblpX="1666" w:tblpY="994"/>
        <w:tblOverlap w:val="never"/>
        <w:tblW w:w="0" w:type="auto"/>
        <w:tblInd w:w="0" w:type="dxa"/>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8709"/>
      </w:tblGrid>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90" w:hRule="exact"/>
        </w:trPr>
        <w:tc>
          <w:tcPr>
            <w:tcW w:w="870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right="0" w:rightChars="0" w:firstLine="280" w:firstLineChars="100"/>
              <w:jc w:val="both"/>
              <w:textAlignment w:val="auto"/>
              <w:rPr>
                <w:rFonts w:hint="default" w:ascii="仿宋_GB2312" w:hAnsi="仿宋_GB2312" w:eastAsia="仿宋_GB2312" w:cs="仿宋_GB2312"/>
                <w:b w:val="0"/>
                <w:bCs w:val="0"/>
                <w:color w:val="auto"/>
                <w:spacing w:val="0"/>
                <w:sz w:val="28"/>
                <w:szCs w:val="28"/>
                <w:vertAlign w:val="baseline"/>
                <w:lang w:val="en-US" w:eastAsia="zh-CN"/>
              </w:rPr>
            </w:pPr>
            <w:r>
              <w:rPr>
                <w:rFonts w:hint="eastAsia" w:ascii="仿宋_GB2312" w:hAnsi="仿宋_GB2312" w:eastAsia="仿宋_GB2312" w:cs="仿宋_GB2312"/>
                <w:b w:val="0"/>
                <w:bCs w:val="0"/>
                <w:color w:val="auto"/>
                <w:spacing w:val="0"/>
                <w:sz w:val="28"/>
                <w:szCs w:val="28"/>
                <w:vertAlign w:val="baseline"/>
                <w:lang w:val="en-US" w:eastAsia="zh-CN"/>
              </w:rPr>
              <w:t>抄报：校董事会、党政领导。</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90" w:hRule="exact"/>
        </w:trPr>
        <w:tc>
          <w:tcPr>
            <w:tcW w:w="870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right="0" w:rightChars="0" w:firstLine="280" w:firstLineChars="100"/>
              <w:jc w:val="both"/>
              <w:textAlignment w:val="auto"/>
              <w:rPr>
                <w:rFonts w:hint="eastAsia" w:ascii="仿宋_GB2312" w:hAnsi="仿宋_GB2312" w:eastAsia="仿宋_GB2312" w:cs="仿宋_GB2312"/>
                <w:b w:val="0"/>
                <w:bCs w:val="0"/>
                <w:color w:val="auto"/>
                <w:spacing w:val="0"/>
                <w:sz w:val="28"/>
                <w:szCs w:val="28"/>
                <w:vertAlign w:val="baseline"/>
                <w:lang w:val="en-US" w:eastAsia="zh-CN"/>
              </w:rPr>
            </w:pPr>
            <w:r>
              <w:rPr>
                <w:rFonts w:hint="eastAsia" w:ascii="仿宋_GB2312" w:hAnsi="仿宋_GB2312" w:eastAsia="仿宋_GB2312" w:cs="仿宋_GB2312"/>
                <w:b w:val="0"/>
                <w:bCs w:val="0"/>
                <w:color w:val="auto"/>
                <w:spacing w:val="0"/>
                <w:sz w:val="28"/>
                <w:szCs w:val="28"/>
                <w:vertAlign w:val="baseline"/>
                <w:lang w:val="en-US" w:eastAsia="zh-CN"/>
              </w:rPr>
              <w:t xml:space="preserve">合肥城市学院办公室                     </w:t>
            </w:r>
            <w:r>
              <w:rPr>
                <w:rFonts w:hint="eastAsia" w:ascii="仿宋_GB2312" w:hAnsi="仿宋_GB2312" w:eastAsia="仿宋_GB2312" w:cs="仿宋_GB2312"/>
                <w:b w:val="0"/>
                <w:bCs w:val="0"/>
                <w:color w:val="auto"/>
                <w:spacing w:val="0"/>
                <w:sz w:val="28"/>
                <w:szCs w:val="28"/>
                <w:lang w:val="en-US" w:eastAsia="zh-CN"/>
              </w:rPr>
              <w:t>2022年7月20日印发</w:t>
            </w:r>
          </w:p>
        </w:tc>
      </w:tr>
    </w:tbl>
    <w:p>
      <w:pPr>
        <w:rPr>
          <w:rFonts w:hint="default"/>
          <w:sz w:val="2"/>
          <w:szCs w:val="2"/>
          <w:lang w:val="en-US" w:eastAsia="zh-CN"/>
        </w:rPr>
      </w:pPr>
    </w:p>
    <w:p>
      <w:pPr>
        <w:rPr>
          <w:rFonts w:hint="eastAsia"/>
          <w:sz w:val="2"/>
          <w:szCs w:val="2"/>
          <w:lang w:val="en-US" w:eastAsia="zh-CN"/>
        </w:rPr>
      </w:pPr>
    </w:p>
    <w:sectPr>
      <w:footerReference r:id="rId3" w:type="default"/>
      <w:footerReference r:id="rId4" w:type="even"/>
      <w:pgSz w:w="11906" w:h="16838"/>
      <w:pgMar w:top="1984" w:right="1587" w:bottom="1417" w:left="1587" w:header="851" w:footer="1134" w:gutter="0"/>
      <w:pgBorders>
        <w:top w:val="none" w:sz="0" w:space="0"/>
        <w:left w:val="none" w:sz="0" w:space="0"/>
        <w:bottom w:val="none" w:sz="0" w:space="0"/>
        <w:right w:val="none" w:sz="0" w:space="0"/>
      </w:pgBorders>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Cambria">
    <w:altName w:val="Palatino Linotype"/>
    <w:panose1 w:val="02040503050406030204"/>
    <w:charset w:val="00"/>
    <w:family w:val="roman"/>
    <w:pitch w:val="default"/>
    <w:sig w:usb0="00000000" w:usb1="00000000" w:usb2="02000000" w:usb3="00000000" w:csb0="2000019F" w:csb1="00000000"/>
  </w:font>
  <w:font w:name="Palatino Linotype">
    <w:panose1 w:val="02040502050505030304"/>
    <w:charset w:val="00"/>
    <w:family w:val="auto"/>
    <w:pitch w:val="default"/>
    <w:sig w:usb0="E0000287" w:usb1="40000013" w:usb2="00000000" w:usb3="00000000" w:csb0="2000019F" w:csb1="00000000"/>
  </w:font>
  <w:font w:name="Adobe 黑体 Std R">
    <w:altName w:val="黑体"/>
    <w:panose1 w:val="00000000000000000000"/>
    <w:charset w:val="86"/>
    <w:family w:val="swiss"/>
    <w:pitch w:val="default"/>
    <w:sig w:usb0="00000000" w:usb1="00000000" w:usb2="00000010" w:usb3="00000000" w:csb0="00060007"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xZjBjNTE5ODZiYWNjOWQwMTcxNTBjNmQ2YzU3YjIifQ=="/>
  </w:docVars>
  <w:rsids>
    <w:rsidRoot w:val="00000000"/>
    <w:rsid w:val="01180A8D"/>
    <w:rsid w:val="01780A56"/>
    <w:rsid w:val="01BD06D2"/>
    <w:rsid w:val="01DA7E6D"/>
    <w:rsid w:val="01F848E6"/>
    <w:rsid w:val="02252077"/>
    <w:rsid w:val="028E5C9E"/>
    <w:rsid w:val="0361667C"/>
    <w:rsid w:val="03C434BA"/>
    <w:rsid w:val="04882F14"/>
    <w:rsid w:val="062769AF"/>
    <w:rsid w:val="06532730"/>
    <w:rsid w:val="07310BFC"/>
    <w:rsid w:val="0756308D"/>
    <w:rsid w:val="09074BCF"/>
    <w:rsid w:val="0A63456B"/>
    <w:rsid w:val="0A9A561C"/>
    <w:rsid w:val="0AE40159"/>
    <w:rsid w:val="0AEA71A1"/>
    <w:rsid w:val="0B2B2D99"/>
    <w:rsid w:val="0B483096"/>
    <w:rsid w:val="0B84580C"/>
    <w:rsid w:val="0BD33FB3"/>
    <w:rsid w:val="0CBD14CF"/>
    <w:rsid w:val="0D525967"/>
    <w:rsid w:val="0DE53020"/>
    <w:rsid w:val="0DFB44F5"/>
    <w:rsid w:val="0EEB2F89"/>
    <w:rsid w:val="0F157485"/>
    <w:rsid w:val="0FBD610E"/>
    <w:rsid w:val="100C6C20"/>
    <w:rsid w:val="114F1210"/>
    <w:rsid w:val="11CE6A9E"/>
    <w:rsid w:val="11D16515"/>
    <w:rsid w:val="12F77AB6"/>
    <w:rsid w:val="13857DA8"/>
    <w:rsid w:val="13B11D6E"/>
    <w:rsid w:val="13F72B81"/>
    <w:rsid w:val="16471A95"/>
    <w:rsid w:val="16E828D0"/>
    <w:rsid w:val="17C76C7F"/>
    <w:rsid w:val="18E420A5"/>
    <w:rsid w:val="1970517C"/>
    <w:rsid w:val="1A547069"/>
    <w:rsid w:val="1ACF704F"/>
    <w:rsid w:val="1B1A488E"/>
    <w:rsid w:val="1CBF0826"/>
    <w:rsid w:val="1E4D5F74"/>
    <w:rsid w:val="1E5741F1"/>
    <w:rsid w:val="1F0968EA"/>
    <w:rsid w:val="1F98484F"/>
    <w:rsid w:val="20A20446"/>
    <w:rsid w:val="20DC6A25"/>
    <w:rsid w:val="22F82BC2"/>
    <w:rsid w:val="23A61C00"/>
    <w:rsid w:val="243C73D9"/>
    <w:rsid w:val="248F27A8"/>
    <w:rsid w:val="25162E47"/>
    <w:rsid w:val="254A649A"/>
    <w:rsid w:val="2577742F"/>
    <w:rsid w:val="26AB5D06"/>
    <w:rsid w:val="270E611E"/>
    <w:rsid w:val="27B011AD"/>
    <w:rsid w:val="2A52398D"/>
    <w:rsid w:val="2A7E41CB"/>
    <w:rsid w:val="2B4E21B4"/>
    <w:rsid w:val="2B8A64E1"/>
    <w:rsid w:val="2D1E625A"/>
    <w:rsid w:val="2D531FC3"/>
    <w:rsid w:val="2D847318"/>
    <w:rsid w:val="2F3F0C54"/>
    <w:rsid w:val="2FAA5340"/>
    <w:rsid w:val="307C1027"/>
    <w:rsid w:val="30DA6D8B"/>
    <w:rsid w:val="321C0699"/>
    <w:rsid w:val="32354FBC"/>
    <w:rsid w:val="32584AA6"/>
    <w:rsid w:val="32C77BEE"/>
    <w:rsid w:val="32E4042B"/>
    <w:rsid w:val="334A2CF9"/>
    <w:rsid w:val="33EA654B"/>
    <w:rsid w:val="35B27141"/>
    <w:rsid w:val="362B7068"/>
    <w:rsid w:val="36A440A7"/>
    <w:rsid w:val="36AE39EA"/>
    <w:rsid w:val="37357439"/>
    <w:rsid w:val="375E0596"/>
    <w:rsid w:val="37F038D0"/>
    <w:rsid w:val="38225C6F"/>
    <w:rsid w:val="3A144CE4"/>
    <w:rsid w:val="3B1B5E2E"/>
    <w:rsid w:val="3B507E82"/>
    <w:rsid w:val="3BCB09A5"/>
    <w:rsid w:val="3BF31361"/>
    <w:rsid w:val="3CE81BF3"/>
    <w:rsid w:val="3DB5191E"/>
    <w:rsid w:val="3DD41E02"/>
    <w:rsid w:val="3F5E5646"/>
    <w:rsid w:val="3F812A3C"/>
    <w:rsid w:val="401E2B5D"/>
    <w:rsid w:val="42FE110A"/>
    <w:rsid w:val="457C4AF8"/>
    <w:rsid w:val="45AB5DFB"/>
    <w:rsid w:val="45D77C9A"/>
    <w:rsid w:val="46864E5F"/>
    <w:rsid w:val="46F72500"/>
    <w:rsid w:val="47BE6B22"/>
    <w:rsid w:val="49EB21E7"/>
    <w:rsid w:val="4BE5677D"/>
    <w:rsid w:val="4D806987"/>
    <w:rsid w:val="4FE15F9B"/>
    <w:rsid w:val="50451C85"/>
    <w:rsid w:val="505F1058"/>
    <w:rsid w:val="50AC2844"/>
    <w:rsid w:val="518808FD"/>
    <w:rsid w:val="5193195F"/>
    <w:rsid w:val="51B50FCE"/>
    <w:rsid w:val="51D05BD2"/>
    <w:rsid w:val="51D11B15"/>
    <w:rsid w:val="52221C27"/>
    <w:rsid w:val="524F4BBA"/>
    <w:rsid w:val="529E420B"/>
    <w:rsid w:val="52D01495"/>
    <w:rsid w:val="539C14F8"/>
    <w:rsid w:val="53BD2813"/>
    <w:rsid w:val="53ED4B93"/>
    <w:rsid w:val="543E4854"/>
    <w:rsid w:val="55395A94"/>
    <w:rsid w:val="560009F8"/>
    <w:rsid w:val="561E78CA"/>
    <w:rsid w:val="57720E61"/>
    <w:rsid w:val="580B0F87"/>
    <w:rsid w:val="5BF80B82"/>
    <w:rsid w:val="5CED02DA"/>
    <w:rsid w:val="5DCB04AC"/>
    <w:rsid w:val="5DCD1013"/>
    <w:rsid w:val="5FC67344"/>
    <w:rsid w:val="60F039AE"/>
    <w:rsid w:val="61A51118"/>
    <w:rsid w:val="61B2747F"/>
    <w:rsid w:val="61C93A6A"/>
    <w:rsid w:val="622218D7"/>
    <w:rsid w:val="62665AD7"/>
    <w:rsid w:val="640075D1"/>
    <w:rsid w:val="65265ED7"/>
    <w:rsid w:val="693D0769"/>
    <w:rsid w:val="6A8A2A29"/>
    <w:rsid w:val="6AAA08DC"/>
    <w:rsid w:val="6C1D3F43"/>
    <w:rsid w:val="6CEB3EB3"/>
    <w:rsid w:val="6CEB66D4"/>
    <w:rsid w:val="6DAE4C4E"/>
    <w:rsid w:val="6DEC2A36"/>
    <w:rsid w:val="6E4E7921"/>
    <w:rsid w:val="6E731CC7"/>
    <w:rsid w:val="6EA727A6"/>
    <w:rsid w:val="6FB12AAD"/>
    <w:rsid w:val="7026518A"/>
    <w:rsid w:val="70534B52"/>
    <w:rsid w:val="711E47D4"/>
    <w:rsid w:val="714A5F46"/>
    <w:rsid w:val="75734B43"/>
    <w:rsid w:val="75962013"/>
    <w:rsid w:val="769C233D"/>
    <w:rsid w:val="772E01DF"/>
    <w:rsid w:val="77916B44"/>
    <w:rsid w:val="7834029A"/>
    <w:rsid w:val="78BF3669"/>
    <w:rsid w:val="79DF18BC"/>
    <w:rsid w:val="7A427821"/>
    <w:rsid w:val="7A475052"/>
    <w:rsid w:val="7A4F302A"/>
    <w:rsid w:val="7B6F4642"/>
    <w:rsid w:val="7B7E5429"/>
    <w:rsid w:val="7CED33F2"/>
    <w:rsid w:val="7CEF19E4"/>
    <w:rsid w:val="7DA2278E"/>
    <w:rsid w:val="7DE23D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150" w:beforeLines="150" w:beforeAutospacing="0" w:after="150" w:afterLines="150" w:afterAutospacing="0" w:line="360" w:lineRule="auto"/>
      <w:jc w:val="center"/>
      <w:outlineLvl w:val="0"/>
    </w:pPr>
    <w:rPr>
      <w:rFonts w:eastAsia="黑体"/>
      <w:kern w:val="44"/>
      <w:sz w:val="36"/>
    </w:rPr>
  </w:style>
  <w:style w:type="paragraph" w:styleId="4">
    <w:name w:val="heading 2"/>
    <w:basedOn w:val="1"/>
    <w:next w:val="1"/>
    <w:unhideWhenUsed/>
    <w:qFormat/>
    <w:uiPriority w:val="9"/>
    <w:pPr>
      <w:keepNext/>
      <w:keepLines/>
      <w:spacing w:line="560" w:lineRule="exact"/>
      <w:outlineLvl w:val="1"/>
    </w:pPr>
    <w:rPr>
      <w:rFonts w:ascii="Cambria" w:hAnsi="Cambria" w:eastAsia="Adobe 黑体 Std R"/>
      <w:bCs/>
      <w:sz w:val="32"/>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Heading2"/>
    <w:basedOn w:val="1"/>
    <w:next w:val="1"/>
    <w:qFormat/>
    <w:uiPriority w:val="0"/>
    <w:pPr>
      <w:keepNext/>
      <w:keepLines/>
      <w:spacing w:before="260" w:after="260" w:line="416" w:lineRule="auto"/>
      <w:textAlignment w:val="baseline"/>
    </w:pPr>
    <w:rPr>
      <w:rFonts w:ascii="Cambria" w:hAnsi="Cambria" w:eastAsia="宋体" w:cs="Cambria"/>
      <w:b/>
      <w:bCs/>
    </w:rPr>
  </w:style>
  <w:style w:type="paragraph" w:styleId="5">
    <w:name w:val="Body Text"/>
    <w:basedOn w:val="1"/>
    <w:qFormat/>
    <w:uiPriority w:val="1"/>
    <w:rPr>
      <w:sz w:val="32"/>
      <w:szCs w:val="32"/>
    </w:rPr>
  </w:style>
  <w:style w:type="paragraph" w:styleId="6">
    <w:name w:val="index 4"/>
    <w:basedOn w:val="1"/>
    <w:next w:val="1"/>
    <w:unhideWhenUsed/>
    <w:qFormat/>
    <w:uiPriority w:val="99"/>
    <w:pPr>
      <w:ind w:left="600" w:leftChars="600"/>
    </w:pPr>
    <w:rPr>
      <w:rFonts w:ascii="Verdana" w:hAnsi="Verdana"/>
      <w:szCs w:val="20"/>
    </w:rPr>
  </w:style>
  <w:style w:type="paragraph" w:styleId="7">
    <w:name w:val="Plain Text"/>
    <w:basedOn w:val="1"/>
    <w:qFormat/>
    <w:uiPriority w:val="0"/>
    <w:pPr>
      <w:autoSpaceDE/>
      <w:autoSpaceDN/>
      <w:jc w:val="both"/>
    </w:pPr>
    <w:rPr>
      <w:rFonts w:hAnsi="Courier New" w:cs="Courier New"/>
      <w:kern w:val="2"/>
      <w:sz w:val="21"/>
      <w:szCs w:val="21"/>
      <w:lang w:eastAsia="zh-CN"/>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Indent 3"/>
    <w:basedOn w:val="1"/>
    <w:qFormat/>
    <w:uiPriority w:val="0"/>
    <w:pPr>
      <w:tabs>
        <w:tab w:val="left" w:pos="619"/>
      </w:tabs>
      <w:autoSpaceDE w:val="0"/>
      <w:autoSpaceDN w:val="0"/>
      <w:adjustRightInd w:val="0"/>
      <w:snapToGrid w:val="0"/>
      <w:spacing w:line="500" w:lineRule="exact"/>
      <w:ind w:firstLine="640" w:firstLineChars="200"/>
      <w:jc w:val="left"/>
    </w:pPr>
    <w:rPr>
      <w:rFonts w:ascii="仿宋_GB2312" w:eastAsia="仿宋_GB2312"/>
      <w:color w:val="FF0000"/>
      <w:sz w:val="32"/>
      <w:szCs w:val="32"/>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rFonts w:ascii="Times New Roman" w:hAnsi="Times New Roman" w:eastAsia="宋体" w:cs="Times New Roman"/>
      <w:b/>
    </w:rPr>
  </w:style>
  <w:style w:type="character" w:styleId="16">
    <w:name w:val="page number"/>
    <w:basedOn w:val="1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3615</Words>
  <Characters>3628</Characters>
  <Lines>0</Lines>
  <Paragraphs>0</Paragraphs>
  <TotalTime>2</TotalTime>
  <ScaleCrop>false</ScaleCrop>
  <LinksUpToDate>false</LinksUpToDate>
  <CharactersWithSpaces>3997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2021-01-14T05:55:00Z</dcterms:created>
  <dc:creator>mayn</dc:creator>
  <cp:lastModifiedBy>李怡娇</cp:lastModifiedBy>
  <cp:lastPrinted>2022-05-03T01:33:00Z</cp:lastPrinted>
  <dcterms:modified xsi:type="dcterms:W3CDTF">2022-07-22T06:32:11Z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E290E98009FA4B2A8F9F9BA2BB73ED27</vt:lpwstr>
  </property>
</Properties>
</file>